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2E" w:rsidRDefault="0060332E" w:rsidP="003662AE">
      <w:pPr>
        <w:jc w:val="center"/>
        <w:rPr>
          <w:rFonts w:asciiTheme="majorHAnsi" w:hAnsiTheme="majorHAnsi" w:cstheme="majorBidi"/>
          <w:b/>
          <w:bCs/>
          <w:sz w:val="24"/>
          <w:szCs w:val="24"/>
        </w:rPr>
      </w:pPr>
    </w:p>
    <w:p w:rsidR="0060332E" w:rsidRDefault="0060332E" w:rsidP="0060332E">
      <w:pPr>
        <w:jc w:val="center"/>
        <w:rPr>
          <w:rFonts w:asciiTheme="majorHAnsi" w:hAnsiTheme="majorHAnsi"/>
          <w:b/>
          <w:bCs/>
          <w:sz w:val="40"/>
          <w:szCs w:val="40"/>
        </w:rPr>
      </w:pPr>
    </w:p>
    <w:p w:rsidR="0060332E" w:rsidRDefault="0060332E" w:rsidP="0060332E">
      <w:pPr>
        <w:jc w:val="center"/>
        <w:rPr>
          <w:rFonts w:asciiTheme="majorHAnsi" w:hAnsiTheme="majorHAnsi"/>
          <w:b/>
          <w:bCs/>
          <w:sz w:val="40"/>
          <w:szCs w:val="40"/>
        </w:rPr>
      </w:pPr>
    </w:p>
    <w:p w:rsidR="0060332E" w:rsidRDefault="0060332E" w:rsidP="0060332E">
      <w:pPr>
        <w:jc w:val="center"/>
        <w:rPr>
          <w:rFonts w:asciiTheme="majorHAnsi" w:hAnsiTheme="majorHAnsi"/>
          <w:b/>
          <w:bCs/>
          <w:sz w:val="40"/>
          <w:szCs w:val="40"/>
        </w:rPr>
      </w:pPr>
    </w:p>
    <w:p w:rsidR="0060332E" w:rsidRDefault="0060332E" w:rsidP="0060332E">
      <w:pPr>
        <w:jc w:val="center"/>
        <w:rPr>
          <w:rFonts w:asciiTheme="majorHAnsi" w:hAnsiTheme="majorHAnsi"/>
          <w:b/>
          <w:bCs/>
          <w:sz w:val="40"/>
          <w:szCs w:val="40"/>
        </w:rPr>
      </w:pPr>
    </w:p>
    <w:p w:rsidR="0060332E" w:rsidRPr="0060332E" w:rsidRDefault="0060332E" w:rsidP="0060332E">
      <w:pPr>
        <w:pBdr>
          <w:bottom w:val="single" w:sz="4" w:space="1" w:color="auto"/>
        </w:pBdr>
        <w:jc w:val="center"/>
        <w:rPr>
          <w:rFonts w:asciiTheme="majorHAnsi" w:hAnsiTheme="majorHAnsi"/>
          <w:b/>
          <w:bCs/>
          <w:sz w:val="40"/>
          <w:szCs w:val="40"/>
        </w:rPr>
      </w:pPr>
      <w:r w:rsidRPr="0060332E">
        <w:rPr>
          <w:rFonts w:asciiTheme="majorHAnsi" w:hAnsiTheme="majorHAnsi"/>
          <w:b/>
          <w:bCs/>
          <w:sz w:val="40"/>
          <w:szCs w:val="40"/>
        </w:rPr>
        <w:t>Understan</w:t>
      </w:r>
      <w:r>
        <w:rPr>
          <w:rFonts w:asciiTheme="majorHAnsi" w:hAnsiTheme="majorHAnsi"/>
          <w:b/>
          <w:bCs/>
          <w:sz w:val="40"/>
          <w:szCs w:val="40"/>
        </w:rPr>
        <w:t>ding the Current Structure and F</w:t>
      </w:r>
      <w:r w:rsidRPr="0060332E">
        <w:rPr>
          <w:rFonts w:asciiTheme="majorHAnsi" w:hAnsiTheme="majorHAnsi"/>
          <w:b/>
          <w:bCs/>
          <w:sz w:val="40"/>
          <w:szCs w:val="40"/>
        </w:rPr>
        <w:t>inances of the Yemeni Government</w:t>
      </w:r>
      <w:r>
        <w:rPr>
          <w:rFonts w:asciiTheme="majorHAnsi" w:hAnsiTheme="majorHAnsi"/>
          <w:b/>
          <w:bCs/>
          <w:sz w:val="40"/>
          <w:szCs w:val="40"/>
        </w:rPr>
        <w:t xml:space="preserve">: </w:t>
      </w:r>
      <w:r w:rsidRPr="0060332E">
        <w:rPr>
          <w:rFonts w:asciiTheme="majorHAnsi" w:hAnsiTheme="majorHAnsi"/>
          <w:sz w:val="40"/>
          <w:szCs w:val="40"/>
        </w:rPr>
        <w:t>Analysis of Historical Data from 2007 to 2012</w:t>
      </w:r>
    </w:p>
    <w:p w:rsidR="0060332E" w:rsidRDefault="0060332E" w:rsidP="0060332E">
      <w:pPr>
        <w:pStyle w:val="Heading1"/>
        <w:spacing w:after="240" w:line="240" w:lineRule="auto"/>
      </w:pPr>
      <w:r w:rsidRPr="0060332E">
        <w:rPr>
          <w:color w:val="auto"/>
          <w:sz w:val="24"/>
          <w:szCs w:val="24"/>
        </w:rPr>
        <w:t>Report Prepared by Dr. Khaldoon Mohammed</w:t>
      </w:r>
      <w:r>
        <w:rPr>
          <w:b w:val="0"/>
          <w:bCs w:val="0"/>
          <w:sz w:val="24"/>
          <w:szCs w:val="24"/>
        </w:rPr>
        <w:br w:type="page"/>
      </w:r>
      <w:r w:rsidRPr="0060332E">
        <w:rPr>
          <w:color w:val="auto"/>
        </w:rPr>
        <w:lastRenderedPageBreak/>
        <w:t>Abbreviations and Acronyms</w:t>
      </w:r>
    </w:p>
    <w:p w:rsidR="0060332E" w:rsidRDefault="0060332E" w:rsidP="0060332E">
      <w:pPr>
        <w:pStyle w:val="ListParagraph"/>
        <w:spacing w:after="0" w:line="300" w:lineRule="exact"/>
        <w:ind w:left="0"/>
        <w:contextualSpacing w:val="0"/>
        <w:jc w:val="both"/>
        <w:rPr>
          <w:rFonts w:ascii="Times New Roman" w:hAnsi="Times New Roman" w:cs="Times New Roman"/>
        </w:rPr>
      </w:pPr>
      <w:r>
        <w:rPr>
          <w:rFonts w:ascii="Times New Roman" w:hAnsi="Times New Roman" w:cs="Times New Roman"/>
        </w:rPr>
        <w:t>CBY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757C">
        <w:rPr>
          <w:rFonts w:ascii="Times New Roman" w:hAnsi="Times New Roman" w:cs="Times New Roman"/>
        </w:rPr>
        <w:t>Central Bank of Yemen</w:t>
      </w:r>
    </w:p>
    <w:p w:rsidR="0060332E" w:rsidRPr="0050757C" w:rsidRDefault="0060332E" w:rsidP="0060332E">
      <w:pPr>
        <w:pStyle w:val="ListParagraph"/>
        <w:spacing w:after="0" w:line="300" w:lineRule="exact"/>
        <w:ind w:left="0"/>
        <w:contextualSpacing w:val="0"/>
        <w:jc w:val="both"/>
        <w:rPr>
          <w:rFonts w:ascii="Times New Roman" w:hAnsi="Times New Roman" w:cs="Times New Roman"/>
        </w:rPr>
      </w:pPr>
      <w:r>
        <w:rPr>
          <w:rFonts w:ascii="Times New Roman" w:hAnsi="Times New Roman" w:cs="Times New Roman"/>
        </w:rPr>
        <w:t>CFA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Central Finance Agency</w:t>
      </w:r>
    </w:p>
    <w:p w:rsidR="0060332E" w:rsidRPr="0050757C" w:rsidRDefault="0060332E" w:rsidP="0060332E">
      <w:pPr>
        <w:pStyle w:val="ListParagraph"/>
        <w:spacing w:after="0" w:line="300" w:lineRule="exact"/>
        <w:ind w:left="0"/>
        <w:contextualSpacing w:val="0"/>
        <w:jc w:val="both"/>
        <w:rPr>
          <w:rFonts w:ascii="Times New Roman" w:hAnsi="Times New Roman" w:cs="Times New Roman"/>
        </w:rPr>
      </w:pPr>
      <w:r>
        <w:rPr>
          <w:rFonts w:ascii="Times New Roman" w:hAnsi="Times New Roman" w:cs="Times New Roman"/>
        </w:rPr>
        <w:t>CSMP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Service Modernization Project</w:t>
      </w:r>
    </w:p>
    <w:p w:rsidR="0060332E" w:rsidRDefault="0060332E" w:rsidP="0060332E">
      <w:pPr>
        <w:pStyle w:val="ListParagraph"/>
        <w:spacing w:after="0" w:line="300" w:lineRule="exact"/>
        <w:ind w:left="0"/>
        <w:contextualSpacing w:val="0"/>
        <w:jc w:val="both"/>
        <w:rPr>
          <w:rFonts w:ascii="Times New Roman" w:hAnsi="Times New Roman" w:cs="Times New Roman"/>
        </w:rPr>
      </w:pPr>
      <w:r>
        <w:rPr>
          <w:rFonts w:ascii="Times New Roman" w:hAnsi="Times New Roman" w:cs="Times New Roman"/>
        </w:rPr>
        <w:t>CSO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Central Statistical Office</w:t>
      </w:r>
    </w:p>
    <w:p w:rsidR="005E3E06" w:rsidRDefault="005E3E06" w:rsidP="0060332E">
      <w:pPr>
        <w:pStyle w:val="ListParagraph"/>
        <w:spacing w:after="0" w:line="300" w:lineRule="exact"/>
        <w:ind w:left="0"/>
        <w:contextualSpacing w:val="0"/>
        <w:jc w:val="both"/>
        <w:rPr>
          <w:rFonts w:asciiTheme="majorHAnsi" w:eastAsia="Calibri" w:hAnsiTheme="majorHAnsi" w:cs="Arial"/>
          <w:sz w:val="24"/>
        </w:rPr>
      </w:pPr>
      <w:r>
        <w:rPr>
          <w:rFonts w:ascii="Times New Roman" w:hAnsi="Times New Roman" w:cs="Times New Roman"/>
        </w:rPr>
        <w:t>GDP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heme="majorHAnsi" w:eastAsia="Calibri" w:hAnsiTheme="majorHAnsi" w:cs="Arial"/>
          <w:sz w:val="24"/>
        </w:rPr>
        <w:t>Gross Domestic P</w:t>
      </w:r>
      <w:r w:rsidRPr="0072532F">
        <w:rPr>
          <w:rFonts w:asciiTheme="majorHAnsi" w:eastAsia="Calibri" w:hAnsiTheme="majorHAnsi" w:cs="Arial"/>
          <w:sz w:val="24"/>
        </w:rPr>
        <w:t>roduct</w:t>
      </w:r>
    </w:p>
    <w:p w:rsidR="005E3E06" w:rsidRDefault="005E3E06" w:rsidP="0060332E">
      <w:pPr>
        <w:pStyle w:val="ListParagraph"/>
        <w:spacing w:after="0" w:line="300" w:lineRule="exact"/>
        <w:ind w:left="0"/>
        <w:contextualSpacing w:val="0"/>
        <w:jc w:val="both"/>
        <w:rPr>
          <w:rFonts w:ascii="Times New Roman" w:hAnsi="Times New Roman" w:cs="Times New Roman"/>
        </w:rPr>
      </w:pPr>
      <w:r>
        <w:rPr>
          <w:rFonts w:asciiTheme="majorHAnsi" w:eastAsia="Calibri" w:hAnsiTheme="majorHAnsi" w:cs="Arial"/>
          <w:sz w:val="24"/>
        </w:rPr>
        <w:t>GNP</w:t>
      </w:r>
      <w:r>
        <w:rPr>
          <w:rFonts w:asciiTheme="majorHAnsi" w:eastAsia="Calibri" w:hAnsiTheme="majorHAnsi" w:cs="Arial"/>
          <w:sz w:val="24"/>
        </w:rPr>
        <w:tab/>
      </w:r>
      <w:r>
        <w:rPr>
          <w:rFonts w:asciiTheme="majorHAnsi" w:eastAsia="Calibri" w:hAnsiTheme="majorHAnsi" w:cs="Arial"/>
          <w:sz w:val="24"/>
        </w:rPr>
        <w:tab/>
      </w:r>
      <w:r>
        <w:rPr>
          <w:rFonts w:asciiTheme="majorHAnsi" w:eastAsia="Calibri" w:hAnsiTheme="majorHAnsi" w:cs="Arial"/>
          <w:sz w:val="24"/>
        </w:rPr>
        <w:tab/>
        <w:t>Gross National Product</w:t>
      </w:r>
    </w:p>
    <w:p w:rsidR="0060332E" w:rsidRDefault="0060332E" w:rsidP="0060332E">
      <w:pPr>
        <w:pStyle w:val="ListParagraph"/>
        <w:spacing w:after="0" w:line="300" w:lineRule="exact"/>
        <w:ind w:left="0"/>
        <w:contextualSpacing w:val="0"/>
        <w:jc w:val="both"/>
        <w:rPr>
          <w:rFonts w:ascii="Times New Roman" w:hAnsi="Times New Roman" w:cs="Times New Roman"/>
        </w:rPr>
      </w:pPr>
      <w:r>
        <w:rPr>
          <w:rFonts w:ascii="Times New Roman" w:hAnsi="Times New Roman" w:cs="Times New Roman"/>
        </w:rPr>
        <w:t>GoY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Government of the Republic of Yemen</w:t>
      </w:r>
    </w:p>
    <w:p w:rsidR="0060332E" w:rsidRPr="0050757C" w:rsidRDefault="0060332E" w:rsidP="0060332E">
      <w:pPr>
        <w:pStyle w:val="ListParagraph"/>
        <w:spacing w:after="0" w:line="300" w:lineRule="exact"/>
        <w:ind w:left="0"/>
        <w:contextualSpacing w:val="0"/>
        <w:jc w:val="both"/>
        <w:rPr>
          <w:rFonts w:ascii="Times New Roman" w:hAnsi="Times New Roman" w:cs="Times New Roman"/>
        </w:rPr>
      </w:pPr>
      <w:r>
        <w:rPr>
          <w:rFonts w:ascii="Times New Roman" w:hAnsi="Times New Roman" w:cs="Times New Roman"/>
        </w:rPr>
        <w:t>IMF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757C">
        <w:rPr>
          <w:rFonts w:ascii="Times New Roman" w:hAnsi="Times New Roman" w:cs="Times New Roman"/>
        </w:rPr>
        <w:t>International Monetary Fund</w:t>
      </w:r>
    </w:p>
    <w:p w:rsidR="0060332E" w:rsidRPr="00413108" w:rsidRDefault="0060332E" w:rsidP="0060332E">
      <w:pPr>
        <w:pStyle w:val="ListParagraph"/>
        <w:spacing w:after="0" w:line="300" w:lineRule="exact"/>
        <w:ind w:left="0"/>
        <w:contextualSpacing w:val="0"/>
        <w:jc w:val="both"/>
        <w:rPr>
          <w:rFonts w:ascii="Times New Roman" w:hAnsi="Times New Roman" w:cs="Times New Roman"/>
        </w:rPr>
      </w:pPr>
      <w:r w:rsidRPr="00413108">
        <w:rPr>
          <w:rFonts w:ascii="Times New Roman" w:hAnsi="Times New Roman" w:cs="Times New Roman"/>
        </w:rPr>
        <w:t>MoCSI</w:t>
      </w:r>
      <w:r w:rsidRPr="00413108">
        <w:rPr>
          <w:rFonts w:ascii="Times New Roman" w:hAnsi="Times New Roman" w:cs="Times New Roman"/>
        </w:rPr>
        <w:tab/>
      </w:r>
      <w:r w:rsidRPr="00413108">
        <w:rPr>
          <w:rFonts w:ascii="Times New Roman" w:hAnsi="Times New Roman" w:cs="Times New Roman"/>
        </w:rPr>
        <w:tab/>
      </w:r>
      <w:r w:rsidRPr="00413108">
        <w:rPr>
          <w:rFonts w:ascii="Times New Roman" w:hAnsi="Times New Roman" w:cs="Times New Roman"/>
        </w:rPr>
        <w:tab/>
      </w:r>
      <w:r>
        <w:rPr>
          <w:rFonts w:ascii="Times New Roman" w:hAnsi="Times New Roman" w:cs="Times New Roman"/>
        </w:rPr>
        <w:t>Ministry of Civil Service and</w:t>
      </w:r>
      <w:r w:rsidRPr="00413108">
        <w:rPr>
          <w:rFonts w:ascii="Times New Roman" w:hAnsi="Times New Roman" w:cs="Times New Roman"/>
        </w:rPr>
        <w:t xml:space="preserve"> Insurance</w:t>
      </w:r>
    </w:p>
    <w:p w:rsidR="0060332E" w:rsidRDefault="0060332E" w:rsidP="0060332E">
      <w:pPr>
        <w:pStyle w:val="ListParagraph"/>
        <w:spacing w:after="0" w:line="300" w:lineRule="exact"/>
        <w:ind w:left="0"/>
        <w:contextualSpacing w:val="0"/>
        <w:jc w:val="both"/>
        <w:rPr>
          <w:rFonts w:ascii="Times New Roman" w:hAnsi="Times New Roman" w:cs="Times New Roman"/>
        </w:rPr>
      </w:pPr>
      <w:r w:rsidRPr="00413108">
        <w:rPr>
          <w:rFonts w:ascii="Times New Roman" w:hAnsi="Times New Roman" w:cs="Times New Roman"/>
        </w:rPr>
        <w:t>MoF</w:t>
      </w:r>
      <w:r w:rsidRPr="00413108">
        <w:rPr>
          <w:rFonts w:ascii="Times New Roman" w:hAnsi="Times New Roman" w:cs="Times New Roman"/>
        </w:rPr>
        <w:tab/>
      </w:r>
      <w:r w:rsidRPr="00413108">
        <w:rPr>
          <w:rFonts w:ascii="Times New Roman" w:hAnsi="Times New Roman" w:cs="Times New Roman"/>
        </w:rPr>
        <w:tab/>
      </w:r>
      <w:r w:rsidRPr="00413108">
        <w:rPr>
          <w:rFonts w:ascii="Times New Roman" w:hAnsi="Times New Roman" w:cs="Times New Roman"/>
        </w:rPr>
        <w:tab/>
      </w:r>
      <w:r w:rsidRPr="0050757C">
        <w:rPr>
          <w:rFonts w:ascii="Times New Roman" w:hAnsi="Times New Roman" w:cs="Times New Roman"/>
        </w:rPr>
        <w:t>Ministry of Finance</w:t>
      </w:r>
    </w:p>
    <w:p w:rsidR="0060332E" w:rsidRDefault="0060332E" w:rsidP="0060332E">
      <w:pPr>
        <w:pStyle w:val="ListParagraph"/>
        <w:spacing w:after="0" w:line="300" w:lineRule="exact"/>
        <w:ind w:left="0"/>
        <w:contextualSpacing w:val="0"/>
        <w:jc w:val="both"/>
        <w:rPr>
          <w:rFonts w:ascii="Times New Roman" w:hAnsi="Times New Roman" w:cs="Times New Roman"/>
        </w:rPr>
      </w:pPr>
      <w:r>
        <w:rPr>
          <w:rFonts w:ascii="Times New Roman" w:hAnsi="Times New Roman" w:cs="Times New Roman"/>
        </w:rPr>
        <w:t>MoIT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Ministry of Industry and Trade</w:t>
      </w:r>
    </w:p>
    <w:p w:rsidR="0060332E" w:rsidRDefault="0060332E" w:rsidP="0060332E">
      <w:pPr>
        <w:pStyle w:val="ListParagraph"/>
        <w:spacing w:after="0" w:line="300" w:lineRule="exact"/>
        <w:ind w:left="0"/>
        <w:contextualSpacing w:val="0"/>
        <w:jc w:val="both"/>
        <w:rPr>
          <w:rFonts w:ascii="Times New Roman" w:hAnsi="Times New Roman" w:cs="Times New Roman"/>
        </w:rPr>
      </w:pPr>
      <w:r>
        <w:rPr>
          <w:rFonts w:ascii="Times New Roman" w:hAnsi="Times New Roman" w:cs="Times New Roman"/>
        </w:rPr>
        <w:t>MoLA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Ministry of Local Administration</w:t>
      </w:r>
    </w:p>
    <w:p w:rsidR="0060332E" w:rsidRDefault="0060332E" w:rsidP="0060332E">
      <w:pPr>
        <w:pStyle w:val="ListParagraph"/>
        <w:spacing w:after="0" w:line="300" w:lineRule="exact"/>
        <w:ind w:left="0"/>
        <w:contextualSpacing w:val="0"/>
        <w:jc w:val="both"/>
        <w:rPr>
          <w:rFonts w:ascii="Times New Roman" w:hAnsi="Times New Roman" w:cs="Times New Roman"/>
        </w:rPr>
      </w:pPr>
      <w:r>
        <w:rPr>
          <w:rFonts w:ascii="Times New Roman" w:hAnsi="Times New Roman" w:cs="Times New Roman"/>
        </w:rPr>
        <w:t>MoO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Ministry of Oil &amp; Minerals</w:t>
      </w:r>
    </w:p>
    <w:p w:rsidR="0060332E" w:rsidRDefault="0060332E" w:rsidP="0060332E">
      <w:pPr>
        <w:pStyle w:val="ListParagraph"/>
        <w:spacing w:after="0" w:line="300" w:lineRule="exact"/>
        <w:ind w:left="0"/>
        <w:contextualSpacing w:val="0"/>
        <w:jc w:val="both"/>
        <w:rPr>
          <w:rFonts w:ascii="Times New Roman" w:hAnsi="Times New Roman" w:cs="Times New Roman"/>
        </w:rPr>
      </w:pPr>
      <w:r>
        <w:rPr>
          <w:rFonts w:ascii="Times New Roman" w:hAnsi="Times New Roman" w:cs="Times New Roman"/>
        </w:rPr>
        <w:t>Mo</w:t>
      </w:r>
      <w:r w:rsidRPr="0050757C">
        <w:rPr>
          <w:rFonts w:ascii="Times New Roman" w:hAnsi="Times New Roman" w:cs="Times New Roman"/>
        </w:rPr>
        <w:t>PIC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757C">
        <w:rPr>
          <w:rFonts w:ascii="Times New Roman" w:hAnsi="Times New Roman" w:cs="Times New Roman"/>
        </w:rPr>
        <w:t>Ministry of Planning and International Cooperation</w:t>
      </w:r>
    </w:p>
    <w:p w:rsidR="0060332E" w:rsidRDefault="0060332E">
      <w:pPr>
        <w:rPr>
          <w:rFonts w:asciiTheme="majorHAnsi" w:hAnsiTheme="majorHAnsi" w:cstheme="majorBidi"/>
          <w:b/>
          <w:bCs/>
          <w:sz w:val="24"/>
          <w:szCs w:val="24"/>
        </w:rPr>
      </w:pPr>
      <w:r>
        <w:rPr>
          <w:rFonts w:asciiTheme="majorHAnsi" w:hAnsiTheme="majorHAnsi" w:cstheme="majorBidi"/>
          <w:b/>
          <w:bCs/>
          <w:sz w:val="24"/>
          <w:szCs w:val="24"/>
        </w:rPr>
        <w:br w:type="page"/>
      </w:r>
    </w:p>
    <w:p w:rsidR="005E3E06" w:rsidRDefault="005E3E06" w:rsidP="003662AE">
      <w:pPr>
        <w:jc w:val="center"/>
        <w:rPr>
          <w:rFonts w:asciiTheme="majorHAnsi" w:hAnsiTheme="majorHAnsi" w:cstheme="majorBidi"/>
          <w:b/>
          <w:bCs/>
          <w:sz w:val="24"/>
          <w:szCs w:val="24"/>
        </w:rPr>
      </w:pPr>
    </w:p>
    <w:p w:rsidR="005E3E06" w:rsidRDefault="005E3E06" w:rsidP="003662AE">
      <w:pPr>
        <w:jc w:val="center"/>
        <w:rPr>
          <w:rFonts w:asciiTheme="majorHAnsi" w:hAnsiTheme="majorHAnsi" w:cstheme="majorBidi"/>
          <w:b/>
          <w:bCs/>
          <w:sz w:val="24"/>
          <w:szCs w:val="24"/>
        </w:rPr>
      </w:pPr>
    </w:p>
    <w:p w:rsidR="001727AE" w:rsidRPr="0072532F" w:rsidRDefault="001727AE" w:rsidP="003662AE">
      <w:pPr>
        <w:jc w:val="center"/>
        <w:rPr>
          <w:rFonts w:asciiTheme="majorHAnsi" w:hAnsiTheme="majorHAnsi" w:cstheme="majorBidi"/>
          <w:b/>
          <w:bCs/>
          <w:sz w:val="24"/>
          <w:szCs w:val="24"/>
        </w:rPr>
      </w:pPr>
      <w:r w:rsidRPr="0072532F">
        <w:rPr>
          <w:rFonts w:asciiTheme="majorHAnsi" w:hAnsiTheme="majorHAnsi" w:cstheme="majorBidi"/>
          <w:b/>
          <w:bCs/>
          <w:sz w:val="24"/>
          <w:szCs w:val="24"/>
        </w:rPr>
        <w:t>Introduction</w:t>
      </w:r>
    </w:p>
    <w:p w:rsidR="00AA370D" w:rsidRPr="0072532F" w:rsidRDefault="00D10A01" w:rsidP="003D5255">
      <w:pPr>
        <w:spacing w:line="480" w:lineRule="auto"/>
        <w:ind w:firstLine="709"/>
        <w:rPr>
          <w:rFonts w:asciiTheme="majorHAnsi" w:hAnsiTheme="majorHAnsi" w:cstheme="majorBidi"/>
          <w:sz w:val="24"/>
          <w:szCs w:val="24"/>
        </w:rPr>
      </w:pPr>
      <w:r w:rsidRPr="0072532F">
        <w:rPr>
          <w:rFonts w:asciiTheme="majorHAnsi" w:hAnsiTheme="majorHAnsi" w:cstheme="majorBidi"/>
          <w:sz w:val="24"/>
          <w:szCs w:val="24"/>
        </w:rPr>
        <w:t xml:space="preserve">This report provides an overview of Yemen's fiscal budgets </w:t>
      </w:r>
      <w:r w:rsidR="003D5255" w:rsidRPr="0072532F">
        <w:rPr>
          <w:rFonts w:asciiTheme="majorHAnsi" w:hAnsiTheme="majorHAnsi" w:cstheme="majorBidi"/>
          <w:sz w:val="24"/>
          <w:szCs w:val="24"/>
        </w:rPr>
        <w:t xml:space="preserve">from </w:t>
      </w:r>
      <w:r w:rsidRPr="0072532F">
        <w:rPr>
          <w:rFonts w:asciiTheme="majorHAnsi" w:hAnsiTheme="majorHAnsi" w:cstheme="majorBidi"/>
          <w:sz w:val="24"/>
          <w:szCs w:val="24"/>
        </w:rPr>
        <w:t xml:space="preserve">2007 </w:t>
      </w:r>
      <w:r w:rsidR="003D5255" w:rsidRPr="0072532F">
        <w:rPr>
          <w:rFonts w:asciiTheme="majorHAnsi" w:hAnsiTheme="majorHAnsi" w:cstheme="majorBidi"/>
          <w:sz w:val="24"/>
          <w:szCs w:val="24"/>
        </w:rPr>
        <w:t>to</w:t>
      </w:r>
      <w:r w:rsidRPr="0072532F">
        <w:rPr>
          <w:rFonts w:asciiTheme="majorHAnsi" w:hAnsiTheme="majorHAnsi" w:cstheme="majorBidi"/>
          <w:sz w:val="24"/>
          <w:szCs w:val="24"/>
        </w:rPr>
        <w:t xml:space="preserve"> 2012. It includes historical analysis of revenues and expenditures according to functional, administrative and economic classifications. Historical averages, distributions and growths of revenues and expenditures will be presented accordingly. Major fiscal, legal and institutional challenges such as the presence of ghost workers, extra budgetary funds, special accounts and tax and customs evasions will be examined and explained. </w:t>
      </w:r>
    </w:p>
    <w:p w:rsidR="000C7E54" w:rsidRDefault="004C1AA2" w:rsidP="005E3E06">
      <w:pPr>
        <w:spacing w:line="480" w:lineRule="auto"/>
        <w:ind w:firstLine="720"/>
        <w:rPr>
          <w:rFonts w:asciiTheme="majorHAnsi" w:eastAsia="Calibri" w:hAnsiTheme="majorHAnsi" w:cstheme="majorBidi"/>
          <w:sz w:val="24"/>
          <w:szCs w:val="24"/>
        </w:rPr>
      </w:pPr>
      <w:r w:rsidRPr="0072532F">
        <w:rPr>
          <w:rFonts w:asciiTheme="majorHAnsi" w:eastAsia="Calibri" w:hAnsiTheme="majorHAnsi" w:cs="Arial"/>
          <w:sz w:val="24"/>
        </w:rPr>
        <w:t xml:space="preserve">By the end of </w:t>
      </w:r>
      <w:r w:rsidR="00750BAA" w:rsidRPr="0072532F">
        <w:rPr>
          <w:rFonts w:asciiTheme="majorHAnsi" w:eastAsia="Calibri" w:hAnsiTheme="majorHAnsi" w:cs="Arial"/>
          <w:sz w:val="24"/>
        </w:rPr>
        <w:t xml:space="preserve">2012, Yemen's </w:t>
      </w:r>
      <w:r w:rsidRPr="0072532F">
        <w:rPr>
          <w:rFonts w:asciiTheme="majorHAnsi" w:eastAsia="Calibri" w:hAnsiTheme="majorHAnsi" w:cs="Arial"/>
          <w:sz w:val="24"/>
        </w:rPr>
        <w:t>initial actual</w:t>
      </w:r>
      <w:r w:rsidR="00750BAA" w:rsidRPr="0072532F">
        <w:rPr>
          <w:rFonts w:asciiTheme="majorHAnsi" w:eastAsia="Calibri" w:hAnsiTheme="majorHAnsi" w:cs="Arial"/>
          <w:sz w:val="24"/>
        </w:rPr>
        <w:t xml:space="preserve"> budget deficit was $</w:t>
      </w:r>
      <w:r w:rsidR="009B50B6" w:rsidRPr="0072532F">
        <w:rPr>
          <w:rFonts w:asciiTheme="majorHAnsi" w:eastAsia="Calibri" w:hAnsiTheme="majorHAnsi" w:cs="Arial"/>
          <w:sz w:val="24"/>
        </w:rPr>
        <w:t>1</w:t>
      </w:r>
      <w:r w:rsidR="00750BAA" w:rsidRPr="0072532F">
        <w:rPr>
          <w:rFonts w:asciiTheme="majorHAnsi" w:eastAsia="Calibri" w:hAnsiTheme="majorHAnsi" w:cs="Arial"/>
          <w:sz w:val="24"/>
        </w:rPr>
        <w:t>.</w:t>
      </w:r>
      <w:r w:rsidR="009B50B6" w:rsidRPr="0072532F">
        <w:rPr>
          <w:rFonts w:asciiTheme="majorHAnsi" w:eastAsia="Calibri" w:hAnsiTheme="majorHAnsi" w:cs="Arial"/>
          <w:sz w:val="24"/>
        </w:rPr>
        <w:t>775</w:t>
      </w:r>
      <w:r w:rsidR="00750BAA" w:rsidRPr="0072532F">
        <w:rPr>
          <w:rFonts w:asciiTheme="majorHAnsi" w:eastAsia="Calibri" w:hAnsiTheme="majorHAnsi" w:cs="Arial"/>
          <w:sz w:val="24"/>
        </w:rPr>
        <w:t xml:space="preserve"> billion (</w:t>
      </w:r>
      <w:r w:rsidR="003D5255" w:rsidRPr="0072532F">
        <w:rPr>
          <w:rFonts w:asciiTheme="majorHAnsi" w:eastAsia="Calibri" w:hAnsiTheme="majorHAnsi" w:cs="Arial"/>
          <w:sz w:val="24"/>
        </w:rPr>
        <w:t>6</w:t>
      </w:r>
      <w:r w:rsidR="00750BAA" w:rsidRPr="0072532F">
        <w:rPr>
          <w:rFonts w:asciiTheme="majorHAnsi" w:eastAsia="Calibri" w:hAnsiTheme="majorHAnsi" w:cs="Arial"/>
          <w:sz w:val="24"/>
        </w:rPr>
        <w:t xml:space="preserve">% of GDP) with a total public debt of 48.5% of GDP and a </w:t>
      </w:r>
      <w:r w:rsidR="005E3E06">
        <w:rPr>
          <w:rFonts w:asciiTheme="majorHAnsi" w:eastAsia="Calibri" w:hAnsiTheme="majorHAnsi" w:cs="Arial"/>
          <w:sz w:val="24"/>
        </w:rPr>
        <w:t xml:space="preserve">5-year </w:t>
      </w:r>
      <w:r w:rsidR="00750BAA" w:rsidRPr="0072532F">
        <w:rPr>
          <w:rFonts w:asciiTheme="majorHAnsi" w:eastAsia="Calibri" w:hAnsiTheme="majorHAnsi" w:cs="Arial"/>
          <w:sz w:val="24"/>
        </w:rPr>
        <w:t>average inflation rate of 11% (Yemeni Central Statistical Organization, 2013; Yemeni Ministry of Finance, 2013).  To financ</w:t>
      </w:r>
      <w:r w:rsidR="00A134F2" w:rsidRPr="0072532F">
        <w:rPr>
          <w:rFonts w:asciiTheme="majorHAnsi" w:eastAsia="Calibri" w:hAnsiTheme="majorHAnsi" w:cs="Arial"/>
          <w:sz w:val="24"/>
        </w:rPr>
        <w:t>e its increasing fiscal deficits</w:t>
      </w:r>
      <w:r w:rsidR="00750BAA" w:rsidRPr="0072532F">
        <w:rPr>
          <w:rFonts w:asciiTheme="majorHAnsi" w:eastAsia="Calibri" w:hAnsiTheme="majorHAnsi" w:cs="Arial"/>
          <w:sz w:val="24"/>
        </w:rPr>
        <w:t xml:space="preserve">, Yemen has </w:t>
      </w:r>
      <w:r w:rsidR="00A134F2" w:rsidRPr="0072532F">
        <w:rPr>
          <w:rFonts w:asciiTheme="majorHAnsi" w:eastAsia="Calibri" w:hAnsiTheme="majorHAnsi" w:cs="Arial"/>
          <w:sz w:val="24"/>
        </w:rPr>
        <w:t>been increasingly relying</w:t>
      </w:r>
      <w:r w:rsidR="00750BAA" w:rsidRPr="0072532F">
        <w:rPr>
          <w:rFonts w:asciiTheme="majorHAnsi" w:eastAsia="Calibri" w:hAnsiTheme="majorHAnsi" w:cs="Arial"/>
          <w:sz w:val="24"/>
        </w:rPr>
        <w:t xml:space="preserve"> on </w:t>
      </w:r>
      <w:r w:rsidR="00A134F2" w:rsidRPr="0072532F">
        <w:rPr>
          <w:rFonts w:asciiTheme="majorHAnsi" w:eastAsia="Calibri" w:hAnsiTheme="majorHAnsi" w:cs="Arial"/>
          <w:sz w:val="24"/>
        </w:rPr>
        <w:t xml:space="preserve">the issuance of treasury bills </w:t>
      </w:r>
      <w:r w:rsidR="00750BAA" w:rsidRPr="0072532F">
        <w:rPr>
          <w:rFonts w:asciiTheme="majorHAnsi" w:eastAsia="Calibri" w:hAnsiTheme="majorHAnsi" w:cs="Arial"/>
          <w:sz w:val="24"/>
        </w:rPr>
        <w:t>and foreign aid</w:t>
      </w:r>
      <w:r w:rsidR="005E3E06">
        <w:rPr>
          <w:rFonts w:asciiTheme="majorHAnsi" w:eastAsia="Calibri" w:hAnsiTheme="majorHAnsi" w:cs="Arial"/>
          <w:sz w:val="24"/>
        </w:rPr>
        <w:t>,</w:t>
      </w:r>
      <w:r w:rsidR="00750BAA" w:rsidRPr="0072532F">
        <w:rPr>
          <w:rFonts w:asciiTheme="majorHAnsi" w:eastAsia="Calibri" w:hAnsiTheme="majorHAnsi" w:cs="Arial"/>
          <w:sz w:val="24"/>
        </w:rPr>
        <w:t xml:space="preserve"> </w:t>
      </w:r>
      <w:r w:rsidRPr="0072532F">
        <w:rPr>
          <w:rFonts w:asciiTheme="majorHAnsi" w:eastAsia="Calibri" w:hAnsiTheme="majorHAnsi" w:cs="Arial"/>
          <w:sz w:val="24"/>
        </w:rPr>
        <w:t>such as the Saudi $3 billion aid in 201</w:t>
      </w:r>
      <w:r w:rsidR="001619C1">
        <w:rPr>
          <w:rFonts w:asciiTheme="majorHAnsi" w:eastAsia="Calibri" w:hAnsiTheme="majorHAnsi" w:cs="Arial"/>
          <w:sz w:val="24"/>
        </w:rPr>
        <w:t>2</w:t>
      </w:r>
      <w:r w:rsidR="005E3E06">
        <w:rPr>
          <w:rFonts w:asciiTheme="majorHAnsi" w:eastAsia="Calibri" w:hAnsiTheme="majorHAnsi" w:cstheme="majorBidi"/>
          <w:sz w:val="24"/>
          <w:szCs w:val="24"/>
        </w:rPr>
        <w:t>($2 billion in oil subsidies and $1 billion in a fixed deposit at the CBY)</w:t>
      </w:r>
      <w:r w:rsidR="005E3E06">
        <w:rPr>
          <w:rFonts w:asciiTheme="majorHAnsi" w:eastAsia="Calibri" w:hAnsiTheme="majorHAnsi" w:cs="Arial"/>
          <w:sz w:val="24"/>
        </w:rPr>
        <w:t xml:space="preserve">, </w:t>
      </w:r>
      <w:r w:rsidR="00750BAA" w:rsidRPr="0072532F">
        <w:rPr>
          <w:rFonts w:asciiTheme="majorHAnsi" w:eastAsia="Calibri" w:hAnsiTheme="majorHAnsi" w:cs="Arial"/>
          <w:sz w:val="24"/>
        </w:rPr>
        <w:t xml:space="preserve">to finance budget deficits and economic </w:t>
      </w:r>
      <w:r w:rsidR="00750BAA" w:rsidRPr="0072532F">
        <w:rPr>
          <w:rFonts w:asciiTheme="majorHAnsi" w:eastAsia="Calibri" w:hAnsiTheme="majorHAnsi" w:cstheme="majorBidi"/>
          <w:sz w:val="24"/>
          <w:szCs w:val="24"/>
        </w:rPr>
        <w:t xml:space="preserve">development plans. </w:t>
      </w:r>
      <w:r w:rsidR="005E3E06">
        <w:rPr>
          <w:rFonts w:asciiTheme="majorHAnsi" w:eastAsia="Calibri" w:hAnsiTheme="majorHAnsi" w:cstheme="majorBidi"/>
          <w:sz w:val="24"/>
          <w:szCs w:val="24"/>
        </w:rPr>
        <w:t xml:space="preserve"> </w:t>
      </w:r>
      <w:r w:rsidR="00750BAA" w:rsidRPr="0072532F">
        <w:rPr>
          <w:rFonts w:asciiTheme="majorHAnsi" w:eastAsia="Calibri" w:hAnsiTheme="majorHAnsi" w:cstheme="majorBidi"/>
          <w:sz w:val="24"/>
          <w:szCs w:val="24"/>
        </w:rPr>
        <w:t xml:space="preserve">As of </w:t>
      </w:r>
      <w:r w:rsidR="00A134F2" w:rsidRPr="0072532F">
        <w:rPr>
          <w:rFonts w:asciiTheme="majorHAnsi" w:eastAsia="Calibri" w:hAnsiTheme="majorHAnsi" w:cstheme="majorBidi"/>
          <w:sz w:val="24"/>
          <w:szCs w:val="24"/>
        </w:rPr>
        <w:t>January</w:t>
      </w:r>
      <w:r w:rsidR="00750BAA" w:rsidRPr="0072532F">
        <w:rPr>
          <w:rFonts w:asciiTheme="majorHAnsi" w:eastAsia="Calibri" w:hAnsiTheme="majorHAnsi" w:cstheme="majorBidi"/>
          <w:sz w:val="24"/>
          <w:szCs w:val="24"/>
        </w:rPr>
        <w:t xml:space="preserve"> 2013,</w:t>
      </w:r>
      <w:r w:rsidR="00A134F2" w:rsidRPr="0072532F">
        <w:rPr>
          <w:rFonts w:asciiTheme="majorHAnsi" w:eastAsia="Calibri" w:hAnsiTheme="majorHAnsi" w:cstheme="majorBidi"/>
          <w:sz w:val="24"/>
          <w:szCs w:val="24"/>
        </w:rPr>
        <w:t xml:space="preserve"> total treasury bills outstanding was YR 921 billion </w:t>
      </w:r>
      <w:r w:rsidR="000C7E54" w:rsidRPr="0072532F">
        <w:rPr>
          <w:rFonts w:asciiTheme="majorHAnsi" w:eastAsia="Calibri" w:hAnsiTheme="majorHAnsi" w:cstheme="majorBidi"/>
          <w:sz w:val="24"/>
          <w:szCs w:val="24"/>
        </w:rPr>
        <w:t xml:space="preserve">($4.287 billion) with an over draft facility at the CBY for more than YR700 billion ($3.2 billion). </w:t>
      </w:r>
    </w:p>
    <w:p w:rsidR="00760A96" w:rsidRDefault="00760A96" w:rsidP="001619C1">
      <w:pPr>
        <w:spacing w:line="480" w:lineRule="auto"/>
        <w:ind w:firstLine="720"/>
        <w:rPr>
          <w:rFonts w:asciiTheme="majorHAnsi" w:eastAsia="Calibri" w:hAnsiTheme="majorHAnsi" w:cstheme="majorBidi"/>
          <w:sz w:val="24"/>
          <w:szCs w:val="24"/>
        </w:rPr>
      </w:pPr>
    </w:p>
    <w:p w:rsidR="00760A96" w:rsidRDefault="00760A96" w:rsidP="001619C1">
      <w:pPr>
        <w:spacing w:line="480" w:lineRule="auto"/>
        <w:ind w:firstLine="720"/>
        <w:rPr>
          <w:rFonts w:asciiTheme="majorHAnsi" w:eastAsia="Calibri" w:hAnsiTheme="majorHAnsi" w:cstheme="majorBidi"/>
          <w:sz w:val="24"/>
          <w:szCs w:val="24"/>
        </w:rPr>
      </w:pPr>
    </w:p>
    <w:p w:rsidR="00760A96" w:rsidRDefault="00760A96" w:rsidP="001619C1">
      <w:pPr>
        <w:spacing w:line="480" w:lineRule="auto"/>
        <w:ind w:firstLine="720"/>
        <w:rPr>
          <w:rFonts w:asciiTheme="majorHAnsi" w:eastAsia="Calibri" w:hAnsiTheme="majorHAnsi" w:cstheme="majorBidi"/>
          <w:sz w:val="24"/>
          <w:szCs w:val="24"/>
        </w:rPr>
      </w:pPr>
    </w:p>
    <w:p w:rsidR="00760A96" w:rsidRDefault="00760A96" w:rsidP="001619C1">
      <w:pPr>
        <w:spacing w:line="480" w:lineRule="auto"/>
        <w:ind w:firstLine="720"/>
        <w:rPr>
          <w:rFonts w:asciiTheme="majorHAnsi" w:eastAsia="Calibri" w:hAnsiTheme="majorHAnsi" w:cstheme="majorBidi"/>
          <w:sz w:val="24"/>
          <w:szCs w:val="24"/>
        </w:rPr>
      </w:pPr>
    </w:p>
    <w:tbl>
      <w:tblPr>
        <w:tblW w:w="11858" w:type="dxa"/>
        <w:tblInd w:w="-885" w:type="dxa"/>
        <w:tblLayout w:type="fixed"/>
        <w:tblLook w:val="04A0"/>
      </w:tblPr>
      <w:tblGrid>
        <w:gridCol w:w="1277"/>
        <w:gridCol w:w="2397"/>
        <w:gridCol w:w="1430"/>
        <w:gridCol w:w="1276"/>
        <w:gridCol w:w="800"/>
        <w:gridCol w:w="430"/>
        <w:gridCol w:w="717"/>
        <w:gridCol w:w="476"/>
        <w:gridCol w:w="658"/>
        <w:gridCol w:w="330"/>
        <w:gridCol w:w="800"/>
        <w:gridCol w:w="183"/>
        <w:gridCol w:w="284"/>
        <w:gridCol w:w="516"/>
        <w:gridCol w:w="284"/>
      </w:tblGrid>
      <w:tr w:rsidR="001619C1" w:rsidRPr="001619C1" w:rsidTr="001619C1">
        <w:trPr>
          <w:gridAfter w:val="2"/>
          <w:wAfter w:w="800" w:type="dxa"/>
          <w:trHeight w:val="300"/>
        </w:trPr>
        <w:tc>
          <w:tcPr>
            <w:tcW w:w="1277" w:type="dxa"/>
            <w:tcBorders>
              <w:top w:val="single" w:sz="8" w:space="0" w:color="auto"/>
              <w:left w:val="single" w:sz="8" w:space="0" w:color="auto"/>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lastRenderedPageBreak/>
              <w:t> </w:t>
            </w:r>
          </w:p>
        </w:tc>
        <w:tc>
          <w:tcPr>
            <w:tcW w:w="2397" w:type="dxa"/>
            <w:tcBorders>
              <w:top w:val="single" w:sz="8" w:space="0" w:color="auto"/>
              <w:left w:val="nil"/>
              <w:bottom w:val="nil"/>
              <w:right w:val="nil"/>
            </w:tcBorders>
            <w:shd w:val="clear" w:color="auto" w:fill="auto"/>
            <w:noWrap/>
            <w:vAlign w:val="center"/>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430" w:type="dxa"/>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276" w:type="dxa"/>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230" w:type="dxa"/>
            <w:gridSpan w:val="2"/>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193" w:type="dxa"/>
            <w:gridSpan w:val="2"/>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988" w:type="dxa"/>
            <w:gridSpan w:val="2"/>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983" w:type="dxa"/>
            <w:gridSpan w:val="2"/>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284" w:type="dxa"/>
            <w:tcBorders>
              <w:top w:val="single" w:sz="8" w:space="0" w:color="auto"/>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585"/>
        </w:trPr>
        <w:tc>
          <w:tcPr>
            <w:tcW w:w="1277" w:type="dxa"/>
            <w:vMerge w:val="restart"/>
            <w:tcBorders>
              <w:top w:val="nil"/>
              <w:left w:val="single" w:sz="8" w:space="0" w:color="auto"/>
              <w:bottom w:val="nil"/>
              <w:right w:val="nil"/>
            </w:tcBorders>
            <w:shd w:val="clear" w:color="auto" w:fill="auto"/>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Gross Domestic Product (GDP)</w:t>
            </w:r>
          </w:p>
        </w:tc>
        <w:tc>
          <w:tcPr>
            <w:tcW w:w="23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 </w:t>
            </w:r>
          </w:p>
        </w:tc>
        <w:tc>
          <w:tcPr>
            <w:tcW w:w="1430" w:type="dxa"/>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sz w:val="20"/>
                <w:szCs w:val="20"/>
              </w:rPr>
            </w:pPr>
            <w:r w:rsidRPr="001619C1">
              <w:rPr>
                <w:rFonts w:ascii="Cambria" w:eastAsia="Times New Roman" w:hAnsi="Cambria" w:cs="Times New Roman"/>
                <w:b/>
                <w:bCs/>
                <w:sz w:val="20"/>
                <w:szCs w:val="20"/>
              </w:rPr>
              <w:t>2007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sz w:val="20"/>
                <w:szCs w:val="20"/>
              </w:rPr>
            </w:pPr>
            <w:r w:rsidRPr="001619C1">
              <w:rPr>
                <w:rFonts w:ascii="Cambria" w:eastAsia="Times New Roman" w:hAnsi="Cambria" w:cs="Times New Roman"/>
                <w:b/>
                <w:bCs/>
                <w:sz w:val="20"/>
                <w:szCs w:val="20"/>
              </w:rPr>
              <w:t>2008*</w:t>
            </w:r>
          </w:p>
        </w:tc>
        <w:tc>
          <w:tcPr>
            <w:tcW w:w="1230" w:type="dxa"/>
            <w:gridSpan w:val="2"/>
            <w:tcBorders>
              <w:top w:val="single" w:sz="8" w:space="0" w:color="auto"/>
              <w:left w:val="nil"/>
              <w:bottom w:val="single" w:sz="8" w:space="0" w:color="auto"/>
              <w:right w:val="nil"/>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sz w:val="20"/>
                <w:szCs w:val="20"/>
              </w:rPr>
            </w:pPr>
            <w:r w:rsidRPr="001619C1">
              <w:rPr>
                <w:rFonts w:ascii="Cambria" w:eastAsia="Times New Roman" w:hAnsi="Cambria" w:cs="Times New Roman"/>
                <w:b/>
                <w:bCs/>
                <w:sz w:val="20"/>
                <w:szCs w:val="20"/>
              </w:rPr>
              <w:t>2009*</w:t>
            </w:r>
          </w:p>
        </w:tc>
        <w:tc>
          <w:tcPr>
            <w:tcW w:w="1193" w:type="dxa"/>
            <w:gridSpan w:val="2"/>
            <w:tcBorders>
              <w:top w:val="single" w:sz="8" w:space="0" w:color="auto"/>
              <w:left w:val="single" w:sz="4" w:space="0" w:color="auto"/>
              <w:bottom w:val="single" w:sz="8" w:space="0" w:color="auto"/>
              <w:right w:val="nil"/>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sz w:val="20"/>
                <w:szCs w:val="20"/>
              </w:rPr>
            </w:pPr>
            <w:r w:rsidRPr="001619C1">
              <w:rPr>
                <w:rFonts w:ascii="Cambria" w:eastAsia="Times New Roman" w:hAnsi="Cambria" w:cs="Times New Roman"/>
                <w:b/>
                <w:bCs/>
                <w:sz w:val="20"/>
                <w:szCs w:val="20"/>
              </w:rPr>
              <w:t>2010**</w:t>
            </w:r>
          </w:p>
        </w:tc>
        <w:tc>
          <w:tcPr>
            <w:tcW w:w="988" w:type="dxa"/>
            <w:gridSpan w:val="2"/>
            <w:tcBorders>
              <w:top w:val="single" w:sz="8" w:space="0" w:color="auto"/>
              <w:left w:val="single" w:sz="4" w:space="0" w:color="auto"/>
              <w:bottom w:val="single" w:sz="8" w:space="0" w:color="auto"/>
              <w:right w:val="nil"/>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sz w:val="20"/>
                <w:szCs w:val="20"/>
              </w:rPr>
            </w:pPr>
            <w:r w:rsidRPr="001619C1">
              <w:rPr>
                <w:rFonts w:ascii="Cambria" w:eastAsia="Times New Roman" w:hAnsi="Cambria" w:cs="Times New Roman"/>
                <w:b/>
                <w:bCs/>
                <w:sz w:val="20"/>
                <w:szCs w:val="20"/>
              </w:rPr>
              <w:t>2011***</w:t>
            </w:r>
          </w:p>
        </w:tc>
        <w:tc>
          <w:tcPr>
            <w:tcW w:w="983" w:type="dxa"/>
            <w:gridSpan w:val="2"/>
            <w:tcBorders>
              <w:top w:val="single" w:sz="8" w:space="0" w:color="auto"/>
              <w:left w:val="single" w:sz="8" w:space="0" w:color="auto"/>
              <w:bottom w:val="single" w:sz="8" w:space="0" w:color="auto"/>
              <w:right w:val="single" w:sz="8" w:space="0" w:color="auto"/>
            </w:tcBorders>
            <w:shd w:val="clear" w:color="000000" w:fill="D8D8D8"/>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Growth Rate</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52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single" w:sz="8" w:space="0" w:color="auto"/>
              <w:bottom w:val="single" w:sz="8" w:space="0" w:color="auto"/>
              <w:right w:val="single" w:sz="8" w:space="0" w:color="auto"/>
            </w:tcBorders>
            <w:shd w:val="clear" w:color="auto" w:fill="auto"/>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GDP at market prices (MIL. YR)</w:t>
            </w:r>
          </w:p>
        </w:tc>
        <w:tc>
          <w:tcPr>
            <w:tcW w:w="1430" w:type="dxa"/>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5,099,905 </w:t>
            </w:r>
          </w:p>
        </w:tc>
        <w:tc>
          <w:tcPr>
            <w:tcW w:w="1276" w:type="dxa"/>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6,072,272 </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5,697,556 </w:t>
            </w:r>
          </w:p>
        </w:tc>
        <w:tc>
          <w:tcPr>
            <w:tcW w:w="1193" w:type="dxa"/>
            <w:gridSpan w:val="2"/>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6,725,671 </w:t>
            </w:r>
          </w:p>
        </w:tc>
        <w:tc>
          <w:tcPr>
            <w:tcW w:w="988" w:type="dxa"/>
            <w:gridSpan w:val="2"/>
            <w:tcBorders>
              <w:top w:val="nil"/>
              <w:left w:val="nil"/>
              <w:bottom w:val="single" w:sz="4" w:space="0" w:color="auto"/>
              <w:right w:val="nil"/>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6,499,075 </w:t>
            </w:r>
          </w:p>
        </w:tc>
        <w:tc>
          <w:tcPr>
            <w:tcW w:w="983" w:type="dxa"/>
            <w:gridSpan w:val="2"/>
            <w:tcBorders>
              <w:top w:val="nil"/>
              <w:left w:val="single" w:sz="8" w:space="0" w:color="auto"/>
              <w:bottom w:val="single" w:sz="4" w:space="0" w:color="auto"/>
              <w:right w:val="single" w:sz="8" w:space="0" w:color="auto"/>
            </w:tcBorders>
            <w:shd w:val="clear" w:color="000000" w:fill="D8D8D8"/>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6.25%</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52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double" w:sz="6" w:space="0" w:color="auto"/>
              <w:left w:val="single" w:sz="8" w:space="0" w:color="auto"/>
              <w:bottom w:val="single" w:sz="8" w:space="0" w:color="auto"/>
              <w:right w:val="single" w:sz="8" w:space="0" w:color="auto"/>
            </w:tcBorders>
            <w:shd w:val="clear" w:color="auto" w:fill="auto"/>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GDP at market prices (MIL.US$)</w:t>
            </w:r>
          </w:p>
        </w:tc>
        <w:tc>
          <w:tcPr>
            <w:tcW w:w="1430" w:type="dxa"/>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25,634 </w:t>
            </w:r>
          </w:p>
        </w:tc>
        <w:tc>
          <w:tcPr>
            <w:tcW w:w="1276" w:type="dxa"/>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30,395 </w:t>
            </w:r>
          </w:p>
        </w:tc>
        <w:tc>
          <w:tcPr>
            <w:tcW w:w="1230" w:type="dxa"/>
            <w:gridSpan w:val="2"/>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28,088 </w:t>
            </w:r>
          </w:p>
        </w:tc>
        <w:tc>
          <w:tcPr>
            <w:tcW w:w="1193" w:type="dxa"/>
            <w:gridSpan w:val="2"/>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30,628 </w:t>
            </w:r>
          </w:p>
        </w:tc>
        <w:tc>
          <w:tcPr>
            <w:tcW w:w="988" w:type="dxa"/>
            <w:gridSpan w:val="2"/>
            <w:tcBorders>
              <w:top w:val="nil"/>
              <w:left w:val="nil"/>
              <w:bottom w:val="single" w:sz="8" w:space="0" w:color="auto"/>
              <w:right w:val="nil"/>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30,398 </w:t>
            </w:r>
          </w:p>
        </w:tc>
        <w:tc>
          <w:tcPr>
            <w:tcW w:w="983" w:type="dxa"/>
            <w:gridSpan w:val="2"/>
            <w:tcBorders>
              <w:top w:val="nil"/>
              <w:left w:val="single" w:sz="8" w:space="0" w:color="auto"/>
              <w:bottom w:val="single" w:sz="8" w:space="0" w:color="auto"/>
              <w:right w:val="single" w:sz="8" w:space="0" w:color="auto"/>
            </w:tcBorders>
            <w:shd w:val="clear" w:color="000000" w:fill="D8D8D8"/>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4.35%</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2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Provisional  Actual</w:t>
            </w:r>
          </w:p>
        </w:tc>
        <w:tc>
          <w:tcPr>
            <w:tcW w:w="1430"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Provisional  </w:t>
            </w:r>
          </w:p>
        </w:tc>
        <w:tc>
          <w:tcPr>
            <w:tcW w:w="1276"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Comp</w:t>
            </w:r>
          </w:p>
        </w:tc>
        <w:tc>
          <w:tcPr>
            <w:tcW w:w="1230"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19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8"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2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Source: CSO (2013)</w:t>
            </w:r>
          </w:p>
        </w:tc>
        <w:tc>
          <w:tcPr>
            <w:tcW w:w="1430"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30"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19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8"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2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430"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30"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19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8"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300"/>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 of Yemen's GDP</w:t>
            </w:r>
          </w:p>
        </w:tc>
        <w:tc>
          <w:tcPr>
            <w:tcW w:w="1430"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30"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19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8"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5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430" w:type="dxa"/>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2007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2008</w:t>
            </w:r>
          </w:p>
        </w:tc>
        <w:tc>
          <w:tcPr>
            <w:tcW w:w="1230" w:type="dxa"/>
            <w:gridSpan w:val="2"/>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2009</w:t>
            </w:r>
          </w:p>
        </w:tc>
        <w:tc>
          <w:tcPr>
            <w:tcW w:w="1193" w:type="dxa"/>
            <w:gridSpan w:val="2"/>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2010</w:t>
            </w:r>
          </w:p>
        </w:tc>
        <w:tc>
          <w:tcPr>
            <w:tcW w:w="988" w:type="dxa"/>
            <w:gridSpan w:val="2"/>
            <w:tcBorders>
              <w:top w:val="single" w:sz="8" w:space="0" w:color="auto"/>
              <w:left w:val="nil"/>
              <w:bottom w:val="single" w:sz="8" w:space="0" w:color="auto"/>
              <w:right w:val="single" w:sz="8"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2011</w:t>
            </w:r>
          </w:p>
        </w:tc>
        <w:tc>
          <w:tcPr>
            <w:tcW w:w="983" w:type="dxa"/>
            <w:gridSpan w:val="2"/>
            <w:tcBorders>
              <w:top w:val="single" w:sz="8" w:space="0" w:color="auto"/>
              <w:left w:val="nil"/>
              <w:bottom w:val="single" w:sz="8" w:space="0" w:color="auto"/>
              <w:right w:val="single" w:sz="8" w:space="0" w:color="auto"/>
            </w:tcBorders>
            <w:shd w:val="clear" w:color="auto" w:fill="auto"/>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4-year Average</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2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single" w:sz="8" w:space="0" w:color="auto"/>
              <w:bottom w:val="single" w:sz="4" w:space="0" w:color="auto"/>
              <w:right w:val="single" w:sz="8"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Total Revenues And Grants</w:t>
            </w:r>
          </w:p>
        </w:tc>
        <w:tc>
          <w:tcPr>
            <w:tcW w:w="1430" w:type="dxa"/>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28%</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33%</w:t>
            </w:r>
          </w:p>
        </w:tc>
        <w:tc>
          <w:tcPr>
            <w:tcW w:w="1230"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23%</w:t>
            </w:r>
          </w:p>
        </w:tc>
        <w:tc>
          <w:tcPr>
            <w:tcW w:w="1193"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27%</w:t>
            </w:r>
          </w:p>
        </w:tc>
        <w:tc>
          <w:tcPr>
            <w:tcW w:w="988"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27%</w:t>
            </w:r>
          </w:p>
        </w:tc>
        <w:tc>
          <w:tcPr>
            <w:tcW w:w="983" w:type="dxa"/>
            <w:gridSpan w:val="2"/>
            <w:tcBorders>
              <w:top w:val="nil"/>
              <w:left w:val="single" w:sz="8" w:space="0" w:color="auto"/>
              <w:bottom w:val="single" w:sz="4" w:space="0" w:color="auto"/>
              <w:right w:val="single" w:sz="8" w:space="0" w:color="auto"/>
            </w:tcBorders>
            <w:shd w:val="clear" w:color="000000" w:fill="D8D8D8"/>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28%</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2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single" w:sz="8" w:space="0" w:color="auto"/>
              <w:bottom w:val="nil"/>
              <w:right w:val="single" w:sz="8" w:space="0" w:color="auto"/>
            </w:tcBorders>
            <w:shd w:val="clear" w:color="auto" w:fill="auto"/>
            <w:noWrap/>
            <w:vAlign w:val="bottom"/>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Total  Expending</w:t>
            </w:r>
          </w:p>
        </w:tc>
        <w:tc>
          <w:tcPr>
            <w:tcW w:w="1430" w:type="dxa"/>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34%</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37%</w:t>
            </w:r>
          </w:p>
        </w:tc>
        <w:tc>
          <w:tcPr>
            <w:tcW w:w="1230"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32%</w:t>
            </w:r>
          </w:p>
        </w:tc>
        <w:tc>
          <w:tcPr>
            <w:tcW w:w="1193"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31%</w:t>
            </w:r>
          </w:p>
        </w:tc>
        <w:tc>
          <w:tcPr>
            <w:tcW w:w="988"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32%</w:t>
            </w:r>
          </w:p>
        </w:tc>
        <w:tc>
          <w:tcPr>
            <w:tcW w:w="983" w:type="dxa"/>
            <w:gridSpan w:val="2"/>
            <w:tcBorders>
              <w:top w:val="nil"/>
              <w:left w:val="single" w:sz="8" w:space="0" w:color="auto"/>
              <w:bottom w:val="single" w:sz="4" w:space="0" w:color="auto"/>
              <w:right w:val="single" w:sz="8" w:space="0" w:color="auto"/>
            </w:tcBorders>
            <w:shd w:val="clear" w:color="000000" w:fill="D8D8D8"/>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34%</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300"/>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Deficit</w:t>
            </w:r>
          </w:p>
        </w:tc>
        <w:tc>
          <w:tcPr>
            <w:tcW w:w="1430" w:type="dxa"/>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6%</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4%</w:t>
            </w:r>
          </w:p>
        </w:tc>
        <w:tc>
          <w:tcPr>
            <w:tcW w:w="1230" w:type="dxa"/>
            <w:gridSpan w:val="2"/>
            <w:tcBorders>
              <w:top w:val="nil"/>
              <w:left w:val="single" w:sz="8" w:space="0" w:color="auto"/>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10%</w:t>
            </w:r>
          </w:p>
        </w:tc>
        <w:tc>
          <w:tcPr>
            <w:tcW w:w="1193" w:type="dxa"/>
            <w:gridSpan w:val="2"/>
            <w:tcBorders>
              <w:top w:val="nil"/>
              <w:left w:val="single" w:sz="8" w:space="0" w:color="auto"/>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5%</w:t>
            </w:r>
          </w:p>
        </w:tc>
        <w:tc>
          <w:tcPr>
            <w:tcW w:w="988" w:type="dxa"/>
            <w:gridSpan w:val="2"/>
            <w:tcBorders>
              <w:top w:val="nil"/>
              <w:left w:val="single" w:sz="8" w:space="0" w:color="auto"/>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5%</w:t>
            </w:r>
          </w:p>
        </w:tc>
        <w:tc>
          <w:tcPr>
            <w:tcW w:w="983" w:type="dxa"/>
            <w:gridSpan w:val="2"/>
            <w:tcBorders>
              <w:top w:val="nil"/>
              <w:left w:val="single" w:sz="8" w:space="0" w:color="auto"/>
              <w:bottom w:val="single" w:sz="8" w:space="0" w:color="auto"/>
              <w:right w:val="single" w:sz="8" w:space="0" w:color="auto"/>
            </w:tcBorders>
            <w:shd w:val="clear" w:color="000000" w:fill="D8D8D8"/>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6%</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300"/>
        </w:trPr>
        <w:tc>
          <w:tcPr>
            <w:tcW w:w="1277" w:type="dxa"/>
            <w:tcBorders>
              <w:top w:val="nil"/>
              <w:left w:val="single" w:sz="8" w:space="0" w:color="auto"/>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2397" w:type="dxa"/>
            <w:tcBorders>
              <w:top w:val="nil"/>
              <w:left w:val="nil"/>
              <w:bottom w:val="single" w:sz="8" w:space="0" w:color="auto"/>
              <w:right w:val="nil"/>
            </w:tcBorders>
            <w:shd w:val="clear" w:color="auto" w:fill="auto"/>
            <w:noWrap/>
            <w:vAlign w:val="center"/>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430" w:type="dxa"/>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276" w:type="dxa"/>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230" w:type="dxa"/>
            <w:gridSpan w:val="2"/>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193" w:type="dxa"/>
            <w:gridSpan w:val="2"/>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988" w:type="dxa"/>
            <w:gridSpan w:val="2"/>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983" w:type="dxa"/>
            <w:gridSpan w:val="2"/>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300"/>
        </w:trPr>
        <w:tc>
          <w:tcPr>
            <w:tcW w:w="1277"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2397" w:type="dxa"/>
            <w:tcBorders>
              <w:top w:val="nil"/>
              <w:left w:val="nil"/>
              <w:bottom w:val="nil"/>
              <w:right w:val="nil"/>
            </w:tcBorders>
            <w:shd w:val="clear" w:color="auto" w:fill="auto"/>
            <w:noWrap/>
            <w:vAlign w:val="center"/>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430"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30"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19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8"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284"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r>
      <w:tr w:rsidR="001619C1" w:rsidRPr="001619C1" w:rsidTr="001619C1">
        <w:trPr>
          <w:gridAfter w:val="2"/>
          <w:wAfter w:w="800" w:type="dxa"/>
          <w:trHeight w:val="300"/>
        </w:trPr>
        <w:tc>
          <w:tcPr>
            <w:tcW w:w="1277" w:type="dxa"/>
            <w:tcBorders>
              <w:top w:val="single" w:sz="8" w:space="0" w:color="auto"/>
              <w:left w:val="single" w:sz="8" w:space="0" w:color="auto"/>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2397" w:type="dxa"/>
            <w:tcBorders>
              <w:top w:val="single" w:sz="8" w:space="0" w:color="auto"/>
              <w:left w:val="nil"/>
              <w:bottom w:val="nil"/>
              <w:right w:val="nil"/>
            </w:tcBorders>
            <w:shd w:val="clear" w:color="auto" w:fill="auto"/>
            <w:noWrap/>
            <w:vAlign w:val="center"/>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430" w:type="dxa"/>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276" w:type="dxa"/>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230" w:type="dxa"/>
            <w:gridSpan w:val="2"/>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193" w:type="dxa"/>
            <w:gridSpan w:val="2"/>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988" w:type="dxa"/>
            <w:gridSpan w:val="2"/>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983" w:type="dxa"/>
            <w:gridSpan w:val="2"/>
            <w:tcBorders>
              <w:top w:val="single" w:sz="8" w:space="0" w:color="auto"/>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284" w:type="dxa"/>
            <w:tcBorders>
              <w:top w:val="single" w:sz="8" w:space="0" w:color="auto"/>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585"/>
        </w:trPr>
        <w:tc>
          <w:tcPr>
            <w:tcW w:w="1277" w:type="dxa"/>
            <w:vMerge w:val="restart"/>
            <w:tcBorders>
              <w:top w:val="nil"/>
              <w:left w:val="single" w:sz="8" w:space="0" w:color="auto"/>
              <w:bottom w:val="nil"/>
              <w:right w:val="nil"/>
            </w:tcBorders>
            <w:shd w:val="clear" w:color="auto" w:fill="auto"/>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Gross National Product (GNP)</w:t>
            </w:r>
          </w:p>
        </w:tc>
        <w:tc>
          <w:tcPr>
            <w:tcW w:w="239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 </w:t>
            </w:r>
          </w:p>
        </w:tc>
        <w:tc>
          <w:tcPr>
            <w:tcW w:w="1430" w:type="dxa"/>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sz w:val="20"/>
                <w:szCs w:val="20"/>
              </w:rPr>
            </w:pPr>
            <w:r w:rsidRPr="001619C1">
              <w:rPr>
                <w:rFonts w:ascii="Cambria" w:eastAsia="Times New Roman" w:hAnsi="Cambria" w:cs="Times New Roman"/>
                <w:b/>
                <w:bCs/>
                <w:sz w:val="20"/>
                <w:szCs w:val="20"/>
              </w:rPr>
              <w:t>2007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sz w:val="20"/>
                <w:szCs w:val="20"/>
              </w:rPr>
            </w:pPr>
            <w:r w:rsidRPr="001619C1">
              <w:rPr>
                <w:rFonts w:ascii="Cambria" w:eastAsia="Times New Roman" w:hAnsi="Cambria" w:cs="Times New Roman"/>
                <w:b/>
                <w:bCs/>
                <w:sz w:val="20"/>
                <w:szCs w:val="20"/>
              </w:rPr>
              <w:t>2008</w:t>
            </w:r>
          </w:p>
        </w:tc>
        <w:tc>
          <w:tcPr>
            <w:tcW w:w="1230" w:type="dxa"/>
            <w:gridSpan w:val="2"/>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sz w:val="20"/>
                <w:szCs w:val="20"/>
              </w:rPr>
            </w:pPr>
            <w:r w:rsidRPr="001619C1">
              <w:rPr>
                <w:rFonts w:ascii="Cambria" w:eastAsia="Times New Roman" w:hAnsi="Cambria" w:cs="Times New Roman"/>
                <w:b/>
                <w:bCs/>
                <w:sz w:val="20"/>
                <w:szCs w:val="20"/>
              </w:rPr>
              <w:t>2009*</w:t>
            </w:r>
          </w:p>
        </w:tc>
        <w:tc>
          <w:tcPr>
            <w:tcW w:w="1193" w:type="dxa"/>
            <w:gridSpan w:val="2"/>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sz w:val="20"/>
                <w:szCs w:val="20"/>
              </w:rPr>
            </w:pPr>
            <w:r w:rsidRPr="001619C1">
              <w:rPr>
                <w:rFonts w:ascii="Cambria" w:eastAsia="Times New Roman" w:hAnsi="Cambria" w:cs="Times New Roman"/>
                <w:b/>
                <w:bCs/>
                <w:sz w:val="20"/>
                <w:szCs w:val="20"/>
              </w:rPr>
              <w:t>2010**</w:t>
            </w:r>
          </w:p>
        </w:tc>
        <w:tc>
          <w:tcPr>
            <w:tcW w:w="988" w:type="dxa"/>
            <w:gridSpan w:val="2"/>
            <w:tcBorders>
              <w:top w:val="single" w:sz="8" w:space="0" w:color="auto"/>
              <w:left w:val="nil"/>
              <w:bottom w:val="single" w:sz="8" w:space="0" w:color="auto"/>
              <w:right w:val="single" w:sz="8"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sz w:val="20"/>
                <w:szCs w:val="20"/>
              </w:rPr>
            </w:pPr>
            <w:r w:rsidRPr="001619C1">
              <w:rPr>
                <w:rFonts w:ascii="Cambria" w:eastAsia="Times New Roman" w:hAnsi="Cambria" w:cs="Times New Roman"/>
                <w:b/>
                <w:bCs/>
                <w:sz w:val="20"/>
                <w:szCs w:val="20"/>
              </w:rPr>
              <w:t>2011***</w:t>
            </w:r>
          </w:p>
        </w:tc>
        <w:tc>
          <w:tcPr>
            <w:tcW w:w="983" w:type="dxa"/>
            <w:gridSpan w:val="2"/>
            <w:tcBorders>
              <w:top w:val="single" w:sz="8" w:space="0" w:color="auto"/>
              <w:left w:val="nil"/>
              <w:bottom w:val="single" w:sz="8" w:space="0" w:color="auto"/>
              <w:right w:val="single" w:sz="8" w:space="0" w:color="auto"/>
            </w:tcBorders>
            <w:shd w:val="clear" w:color="000000" w:fill="D8D8D8"/>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Growth Rate</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5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single" w:sz="8" w:space="0" w:color="auto"/>
              <w:bottom w:val="single" w:sz="8" w:space="0" w:color="auto"/>
              <w:right w:val="single" w:sz="4" w:space="0" w:color="auto"/>
            </w:tcBorders>
            <w:shd w:val="clear" w:color="auto" w:fill="auto"/>
            <w:vAlign w:val="bottom"/>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Yemen's GNP at market prices (MIL.us$)</w:t>
            </w:r>
          </w:p>
        </w:tc>
        <w:tc>
          <w:tcPr>
            <w:tcW w:w="1430" w:type="dxa"/>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24,357 </w:t>
            </w:r>
          </w:p>
        </w:tc>
        <w:tc>
          <w:tcPr>
            <w:tcW w:w="1276" w:type="dxa"/>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28,588 </w:t>
            </w:r>
          </w:p>
        </w:tc>
        <w:tc>
          <w:tcPr>
            <w:tcW w:w="1230" w:type="dxa"/>
            <w:gridSpan w:val="2"/>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27,007 </w:t>
            </w:r>
          </w:p>
        </w:tc>
        <w:tc>
          <w:tcPr>
            <w:tcW w:w="1193" w:type="dxa"/>
            <w:gridSpan w:val="2"/>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29,017 </w:t>
            </w:r>
          </w:p>
        </w:tc>
        <w:tc>
          <w:tcPr>
            <w:tcW w:w="988" w:type="dxa"/>
            <w:gridSpan w:val="2"/>
            <w:tcBorders>
              <w:top w:val="nil"/>
              <w:left w:val="nil"/>
              <w:bottom w:val="single" w:sz="8" w:space="0" w:color="auto"/>
              <w:right w:val="single" w:sz="8"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27,938 </w:t>
            </w:r>
          </w:p>
        </w:tc>
        <w:tc>
          <w:tcPr>
            <w:tcW w:w="983" w:type="dxa"/>
            <w:gridSpan w:val="2"/>
            <w:tcBorders>
              <w:top w:val="nil"/>
              <w:left w:val="nil"/>
              <w:bottom w:val="single" w:sz="8" w:space="0" w:color="auto"/>
              <w:right w:val="single" w:sz="8" w:space="0" w:color="auto"/>
            </w:tcBorders>
            <w:shd w:val="clear" w:color="000000" w:fill="D8D8D8"/>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3.49%</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trHeight w:val="2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Provisional  Actual</w:t>
            </w:r>
          </w:p>
        </w:tc>
        <w:tc>
          <w:tcPr>
            <w:tcW w:w="1430"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xml:space="preserve">** Provisional  </w:t>
            </w:r>
          </w:p>
        </w:tc>
        <w:tc>
          <w:tcPr>
            <w:tcW w:w="2076"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ind w:left="-95"/>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Comp</w:t>
            </w:r>
          </w:p>
        </w:tc>
        <w:tc>
          <w:tcPr>
            <w:tcW w:w="1147"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134"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130"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3" w:type="dxa"/>
            <w:gridSpan w:val="3"/>
            <w:tcBorders>
              <w:top w:val="nil"/>
              <w:left w:val="nil"/>
              <w:bottom w:val="nil"/>
              <w:right w:val="nil"/>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2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Source: CSO (2013)</w:t>
            </w:r>
          </w:p>
        </w:tc>
        <w:tc>
          <w:tcPr>
            <w:tcW w:w="1430"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30"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19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8"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2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1430"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30"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19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8"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300"/>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 of Yemen's GNP</w:t>
            </w:r>
          </w:p>
        </w:tc>
        <w:tc>
          <w:tcPr>
            <w:tcW w:w="1430"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76" w:type="dxa"/>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230"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119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8"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983" w:type="dxa"/>
            <w:gridSpan w:val="2"/>
            <w:tcBorders>
              <w:top w:val="nil"/>
              <w:left w:val="nil"/>
              <w:bottom w:val="nil"/>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5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430" w:type="dxa"/>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2007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2008</w:t>
            </w:r>
          </w:p>
        </w:tc>
        <w:tc>
          <w:tcPr>
            <w:tcW w:w="1230" w:type="dxa"/>
            <w:gridSpan w:val="2"/>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2009</w:t>
            </w:r>
          </w:p>
        </w:tc>
        <w:tc>
          <w:tcPr>
            <w:tcW w:w="1193" w:type="dxa"/>
            <w:gridSpan w:val="2"/>
            <w:tcBorders>
              <w:top w:val="single" w:sz="8" w:space="0" w:color="auto"/>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2010</w:t>
            </w:r>
          </w:p>
        </w:tc>
        <w:tc>
          <w:tcPr>
            <w:tcW w:w="988" w:type="dxa"/>
            <w:gridSpan w:val="2"/>
            <w:tcBorders>
              <w:top w:val="single" w:sz="8" w:space="0" w:color="auto"/>
              <w:left w:val="nil"/>
              <w:bottom w:val="single" w:sz="8" w:space="0" w:color="auto"/>
              <w:right w:val="single" w:sz="8"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2011</w:t>
            </w:r>
          </w:p>
        </w:tc>
        <w:tc>
          <w:tcPr>
            <w:tcW w:w="983" w:type="dxa"/>
            <w:gridSpan w:val="2"/>
            <w:tcBorders>
              <w:top w:val="single" w:sz="8" w:space="0" w:color="auto"/>
              <w:left w:val="nil"/>
              <w:bottom w:val="single" w:sz="8" w:space="0" w:color="auto"/>
              <w:right w:val="single" w:sz="8" w:space="0" w:color="auto"/>
            </w:tcBorders>
            <w:shd w:val="clear" w:color="auto" w:fill="auto"/>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4-year Average</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2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single" w:sz="8" w:space="0" w:color="auto"/>
              <w:bottom w:val="single" w:sz="4" w:space="0" w:color="auto"/>
              <w:right w:val="single" w:sz="8"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Total Revenues And Grants</w:t>
            </w:r>
          </w:p>
        </w:tc>
        <w:tc>
          <w:tcPr>
            <w:tcW w:w="1430" w:type="dxa"/>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35%</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24%</w:t>
            </w:r>
          </w:p>
        </w:tc>
        <w:tc>
          <w:tcPr>
            <w:tcW w:w="1193" w:type="dxa"/>
            <w:gridSpan w:val="2"/>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28%</w:t>
            </w:r>
          </w:p>
        </w:tc>
        <w:tc>
          <w:tcPr>
            <w:tcW w:w="988" w:type="dxa"/>
            <w:gridSpan w:val="2"/>
            <w:tcBorders>
              <w:top w:val="nil"/>
              <w:left w:val="nil"/>
              <w:bottom w:val="single" w:sz="4" w:space="0" w:color="auto"/>
              <w:right w:val="single" w:sz="8"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29%</w:t>
            </w:r>
          </w:p>
        </w:tc>
        <w:tc>
          <w:tcPr>
            <w:tcW w:w="983" w:type="dxa"/>
            <w:gridSpan w:val="2"/>
            <w:tcBorders>
              <w:top w:val="nil"/>
              <w:left w:val="nil"/>
              <w:bottom w:val="single" w:sz="4" w:space="0" w:color="auto"/>
              <w:right w:val="single" w:sz="8" w:space="0" w:color="auto"/>
            </w:tcBorders>
            <w:shd w:val="clear" w:color="000000" w:fill="D8D8D8"/>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29%</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285"/>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nil"/>
              <w:left w:val="single" w:sz="8" w:space="0" w:color="auto"/>
              <w:bottom w:val="nil"/>
              <w:right w:val="single" w:sz="8" w:space="0" w:color="auto"/>
            </w:tcBorders>
            <w:shd w:val="clear" w:color="auto" w:fill="auto"/>
            <w:noWrap/>
            <w:vAlign w:val="bottom"/>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Total  Expending</w:t>
            </w:r>
          </w:p>
        </w:tc>
        <w:tc>
          <w:tcPr>
            <w:tcW w:w="1430" w:type="dxa"/>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36%</w:t>
            </w:r>
          </w:p>
        </w:tc>
        <w:tc>
          <w:tcPr>
            <w:tcW w:w="1276" w:type="dxa"/>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39%</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34%</w:t>
            </w:r>
          </w:p>
        </w:tc>
        <w:tc>
          <w:tcPr>
            <w:tcW w:w="1193" w:type="dxa"/>
            <w:gridSpan w:val="2"/>
            <w:tcBorders>
              <w:top w:val="nil"/>
              <w:left w:val="nil"/>
              <w:bottom w:val="single" w:sz="4"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33%</w:t>
            </w:r>
          </w:p>
        </w:tc>
        <w:tc>
          <w:tcPr>
            <w:tcW w:w="988" w:type="dxa"/>
            <w:gridSpan w:val="2"/>
            <w:tcBorders>
              <w:top w:val="nil"/>
              <w:left w:val="nil"/>
              <w:bottom w:val="single" w:sz="4" w:space="0" w:color="auto"/>
              <w:right w:val="single" w:sz="8"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35%</w:t>
            </w:r>
          </w:p>
        </w:tc>
        <w:tc>
          <w:tcPr>
            <w:tcW w:w="983" w:type="dxa"/>
            <w:gridSpan w:val="2"/>
            <w:tcBorders>
              <w:top w:val="nil"/>
              <w:left w:val="nil"/>
              <w:bottom w:val="single" w:sz="4" w:space="0" w:color="auto"/>
              <w:right w:val="single" w:sz="8" w:space="0" w:color="auto"/>
            </w:tcBorders>
            <w:shd w:val="clear" w:color="000000" w:fill="D8D8D8"/>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36%</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300"/>
        </w:trPr>
        <w:tc>
          <w:tcPr>
            <w:tcW w:w="1277" w:type="dxa"/>
            <w:vMerge/>
            <w:tcBorders>
              <w:top w:val="nil"/>
              <w:left w:val="single" w:sz="8" w:space="0" w:color="auto"/>
              <w:bottom w:val="nil"/>
              <w:right w:val="nil"/>
            </w:tcBorders>
            <w:vAlign w:val="center"/>
            <w:hideMark/>
          </w:tcPr>
          <w:p w:rsidR="001619C1" w:rsidRPr="001619C1" w:rsidRDefault="001619C1" w:rsidP="001619C1">
            <w:pPr>
              <w:spacing w:after="0" w:line="240" w:lineRule="auto"/>
              <w:rPr>
                <w:rFonts w:ascii="Cambria" w:eastAsia="Times New Roman" w:hAnsi="Cambria" w:cs="Times New Roman"/>
                <w:b/>
                <w:bCs/>
                <w:color w:val="000000"/>
                <w:sz w:val="20"/>
                <w:szCs w:val="20"/>
              </w:rPr>
            </w:pPr>
          </w:p>
        </w:tc>
        <w:tc>
          <w:tcPr>
            <w:tcW w:w="23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b/>
                <w:bCs/>
                <w:color w:val="000000"/>
                <w:sz w:val="20"/>
                <w:szCs w:val="20"/>
              </w:rPr>
            </w:pPr>
            <w:r w:rsidRPr="001619C1">
              <w:rPr>
                <w:rFonts w:ascii="Cambria" w:eastAsia="Times New Roman" w:hAnsi="Cambria" w:cs="Times New Roman"/>
                <w:b/>
                <w:bCs/>
                <w:color w:val="000000"/>
                <w:sz w:val="20"/>
                <w:szCs w:val="20"/>
              </w:rPr>
              <w:t>Deficit</w:t>
            </w:r>
          </w:p>
        </w:tc>
        <w:tc>
          <w:tcPr>
            <w:tcW w:w="1430" w:type="dxa"/>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7%</w:t>
            </w:r>
          </w:p>
        </w:tc>
        <w:tc>
          <w:tcPr>
            <w:tcW w:w="1276" w:type="dxa"/>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4%</w:t>
            </w:r>
          </w:p>
        </w:tc>
        <w:tc>
          <w:tcPr>
            <w:tcW w:w="1230" w:type="dxa"/>
            <w:gridSpan w:val="2"/>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10%</w:t>
            </w:r>
          </w:p>
        </w:tc>
        <w:tc>
          <w:tcPr>
            <w:tcW w:w="1193" w:type="dxa"/>
            <w:gridSpan w:val="2"/>
            <w:tcBorders>
              <w:top w:val="nil"/>
              <w:left w:val="nil"/>
              <w:bottom w:val="single" w:sz="8" w:space="0" w:color="auto"/>
              <w:right w:val="single" w:sz="4"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5%</w:t>
            </w:r>
          </w:p>
        </w:tc>
        <w:tc>
          <w:tcPr>
            <w:tcW w:w="988" w:type="dxa"/>
            <w:gridSpan w:val="2"/>
            <w:tcBorders>
              <w:top w:val="nil"/>
              <w:left w:val="nil"/>
              <w:bottom w:val="single" w:sz="8" w:space="0" w:color="auto"/>
              <w:right w:val="single" w:sz="8" w:space="0" w:color="auto"/>
            </w:tcBorders>
            <w:shd w:val="clear" w:color="auto" w:fill="auto"/>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6%</w:t>
            </w:r>
          </w:p>
        </w:tc>
        <w:tc>
          <w:tcPr>
            <w:tcW w:w="983" w:type="dxa"/>
            <w:gridSpan w:val="2"/>
            <w:tcBorders>
              <w:top w:val="nil"/>
              <w:left w:val="nil"/>
              <w:bottom w:val="single" w:sz="8" w:space="0" w:color="auto"/>
              <w:right w:val="single" w:sz="8" w:space="0" w:color="auto"/>
            </w:tcBorders>
            <w:shd w:val="clear" w:color="000000" w:fill="D8D8D8"/>
            <w:noWrap/>
            <w:vAlign w:val="center"/>
            <w:hideMark/>
          </w:tcPr>
          <w:p w:rsidR="001619C1" w:rsidRPr="001619C1" w:rsidRDefault="001619C1" w:rsidP="001619C1">
            <w:pPr>
              <w:spacing w:after="0" w:line="240" w:lineRule="auto"/>
              <w:jc w:val="center"/>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6%</w:t>
            </w:r>
          </w:p>
        </w:tc>
        <w:tc>
          <w:tcPr>
            <w:tcW w:w="284" w:type="dxa"/>
            <w:tcBorders>
              <w:top w:val="nil"/>
              <w:left w:val="nil"/>
              <w:bottom w:val="nil"/>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r w:rsidR="001619C1" w:rsidRPr="001619C1" w:rsidTr="001619C1">
        <w:trPr>
          <w:gridAfter w:val="2"/>
          <w:wAfter w:w="800" w:type="dxa"/>
          <w:trHeight w:val="300"/>
        </w:trPr>
        <w:tc>
          <w:tcPr>
            <w:tcW w:w="1277" w:type="dxa"/>
            <w:tcBorders>
              <w:top w:val="nil"/>
              <w:left w:val="single" w:sz="8" w:space="0" w:color="auto"/>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2397" w:type="dxa"/>
            <w:tcBorders>
              <w:top w:val="nil"/>
              <w:left w:val="nil"/>
              <w:bottom w:val="single" w:sz="8" w:space="0" w:color="auto"/>
              <w:right w:val="nil"/>
            </w:tcBorders>
            <w:shd w:val="clear" w:color="auto" w:fill="auto"/>
            <w:noWrap/>
            <w:vAlign w:val="center"/>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r w:rsidR="00382C6B" w:rsidRPr="001619C1">
              <w:rPr>
                <w:rFonts w:ascii="Cambria" w:eastAsia="Times New Roman" w:hAnsi="Cambria" w:cs="Times New Roman"/>
                <w:b/>
                <w:bCs/>
                <w:color w:val="000000"/>
                <w:sz w:val="20"/>
                <w:szCs w:val="20"/>
              </w:rPr>
              <w:t>Source: CSO (2013)</w:t>
            </w:r>
          </w:p>
        </w:tc>
        <w:tc>
          <w:tcPr>
            <w:tcW w:w="1430" w:type="dxa"/>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276" w:type="dxa"/>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230" w:type="dxa"/>
            <w:gridSpan w:val="2"/>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1193" w:type="dxa"/>
            <w:gridSpan w:val="2"/>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988" w:type="dxa"/>
            <w:gridSpan w:val="2"/>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983" w:type="dxa"/>
            <w:gridSpan w:val="2"/>
            <w:tcBorders>
              <w:top w:val="nil"/>
              <w:left w:val="nil"/>
              <w:bottom w:val="single" w:sz="8" w:space="0" w:color="auto"/>
              <w:right w:val="nil"/>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1619C1" w:rsidRPr="001619C1" w:rsidRDefault="001619C1" w:rsidP="001619C1">
            <w:pPr>
              <w:spacing w:after="0" w:line="240" w:lineRule="auto"/>
              <w:rPr>
                <w:rFonts w:ascii="Cambria" w:eastAsia="Times New Roman" w:hAnsi="Cambria" w:cs="Times New Roman"/>
                <w:color w:val="000000"/>
                <w:sz w:val="20"/>
                <w:szCs w:val="20"/>
              </w:rPr>
            </w:pPr>
            <w:r w:rsidRPr="001619C1">
              <w:rPr>
                <w:rFonts w:ascii="Cambria" w:eastAsia="Times New Roman" w:hAnsi="Cambria" w:cs="Times New Roman"/>
                <w:color w:val="000000"/>
                <w:sz w:val="20"/>
                <w:szCs w:val="20"/>
              </w:rPr>
              <w:t> </w:t>
            </w:r>
          </w:p>
        </w:tc>
      </w:tr>
    </w:tbl>
    <w:p w:rsidR="001619C1" w:rsidRPr="0072532F" w:rsidRDefault="001619C1" w:rsidP="001619C1">
      <w:pPr>
        <w:spacing w:line="480" w:lineRule="auto"/>
        <w:ind w:firstLine="720"/>
        <w:rPr>
          <w:rFonts w:asciiTheme="majorHAnsi" w:eastAsia="Calibri" w:hAnsiTheme="majorHAnsi" w:cstheme="majorBidi"/>
          <w:sz w:val="24"/>
          <w:szCs w:val="24"/>
        </w:rPr>
      </w:pPr>
    </w:p>
    <w:p w:rsidR="0005477E" w:rsidRDefault="000C7E54" w:rsidP="00670FED">
      <w:pPr>
        <w:spacing w:line="480" w:lineRule="auto"/>
        <w:ind w:firstLine="709"/>
        <w:rPr>
          <w:rFonts w:asciiTheme="majorHAnsi" w:hAnsiTheme="majorHAnsi" w:cstheme="majorBidi"/>
          <w:sz w:val="24"/>
          <w:szCs w:val="24"/>
        </w:rPr>
      </w:pPr>
      <w:r w:rsidRPr="0072532F">
        <w:rPr>
          <w:rFonts w:asciiTheme="majorHAnsi" w:eastAsia="Calibri" w:hAnsiTheme="majorHAnsi" w:cstheme="majorBidi"/>
          <w:sz w:val="24"/>
          <w:szCs w:val="24"/>
        </w:rPr>
        <w:t xml:space="preserve">The 2013 fiscal budget includes an estimated fiscal </w:t>
      </w:r>
      <w:r w:rsidR="000B0601" w:rsidRPr="0072532F">
        <w:rPr>
          <w:rFonts w:asciiTheme="majorHAnsi" w:eastAsia="Calibri" w:hAnsiTheme="majorHAnsi" w:cstheme="majorBidi"/>
          <w:sz w:val="24"/>
          <w:szCs w:val="24"/>
        </w:rPr>
        <w:t>deficit</w:t>
      </w:r>
      <w:r w:rsidRPr="0072532F">
        <w:rPr>
          <w:rFonts w:asciiTheme="majorHAnsi" w:eastAsia="Calibri" w:hAnsiTheme="majorHAnsi" w:cstheme="majorBidi"/>
          <w:sz w:val="24"/>
          <w:szCs w:val="24"/>
        </w:rPr>
        <w:t xml:space="preserve"> of </w:t>
      </w:r>
      <w:r w:rsidR="000B0601" w:rsidRPr="0072532F">
        <w:rPr>
          <w:rFonts w:asciiTheme="majorHAnsi" w:eastAsia="Calibri" w:hAnsiTheme="majorHAnsi" w:cstheme="majorBidi"/>
          <w:sz w:val="24"/>
          <w:szCs w:val="24"/>
          <w:lang w:val="en-GB" w:bidi="ar-YE"/>
        </w:rPr>
        <w:t>YR 682 billion ($3.18 billion)</w:t>
      </w:r>
      <w:r w:rsidR="000B0601" w:rsidRPr="0072532F">
        <w:rPr>
          <w:rFonts w:asciiTheme="majorHAnsi" w:eastAsia="Calibri" w:hAnsiTheme="majorHAnsi" w:cstheme="majorBidi"/>
          <w:sz w:val="24"/>
          <w:szCs w:val="24"/>
        </w:rPr>
        <w:t xml:space="preserve"> or 10% of GDP</w:t>
      </w:r>
      <w:r w:rsidR="00750BAA" w:rsidRPr="0072532F">
        <w:rPr>
          <w:rFonts w:asciiTheme="majorHAnsi" w:eastAsia="Calibri" w:hAnsiTheme="majorHAnsi" w:cstheme="majorBidi"/>
          <w:color w:val="000000" w:themeColor="text1"/>
          <w:sz w:val="24"/>
          <w:szCs w:val="24"/>
        </w:rPr>
        <w:t xml:space="preserve">.  </w:t>
      </w:r>
      <w:r w:rsidR="00750BAA" w:rsidRPr="0072532F">
        <w:rPr>
          <w:rFonts w:asciiTheme="majorHAnsi" w:eastAsia="Calibri" w:hAnsiTheme="majorHAnsi" w:cs="Arial"/>
          <w:sz w:val="24"/>
        </w:rPr>
        <w:t xml:space="preserve">The Yemeni government relies heavily on oil revenues that provide 70% of goods exports and 16% of gross domestic product (Yemeni Central Statistical </w:t>
      </w:r>
      <w:r w:rsidR="00750BAA" w:rsidRPr="0072532F">
        <w:rPr>
          <w:rFonts w:asciiTheme="majorHAnsi" w:eastAsia="Calibri" w:hAnsiTheme="majorHAnsi" w:cs="Arial"/>
          <w:sz w:val="24"/>
        </w:rPr>
        <w:lastRenderedPageBreak/>
        <w:t xml:space="preserve">Organization, 2013).  Oil revenue finances </w:t>
      </w:r>
      <w:r w:rsidR="001619C1">
        <w:rPr>
          <w:rFonts w:asciiTheme="majorHAnsi" w:eastAsia="Calibri" w:hAnsiTheme="majorHAnsi" w:cs="Arial"/>
          <w:sz w:val="24"/>
        </w:rPr>
        <w:t>52</w:t>
      </w:r>
      <w:r w:rsidR="00750BAA" w:rsidRPr="0072532F">
        <w:rPr>
          <w:rFonts w:asciiTheme="majorHAnsi" w:eastAsia="Calibri" w:hAnsiTheme="majorHAnsi" w:cs="Arial"/>
          <w:sz w:val="24"/>
        </w:rPr>
        <w:t xml:space="preserve">% of Yemen’s 2012 </w:t>
      </w:r>
      <w:r w:rsidR="000B0601" w:rsidRPr="0072532F">
        <w:rPr>
          <w:rFonts w:asciiTheme="majorHAnsi" w:eastAsia="Calibri" w:hAnsiTheme="majorHAnsi" w:cs="Arial"/>
          <w:sz w:val="24"/>
        </w:rPr>
        <w:t xml:space="preserve">total </w:t>
      </w:r>
      <w:r w:rsidR="001619C1">
        <w:rPr>
          <w:rFonts w:asciiTheme="majorHAnsi" w:eastAsia="Calibri" w:hAnsiTheme="majorHAnsi" w:cs="Arial"/>
          <w:sz w:val="24"/>
        </w:rPr>
        <w:t>Expending</w:t>
      </w:r>
      <w:r w:rsidR="00750BAA" w:rsidRPr="0072532F">
        <w:rPr>
          <w:rFonts w:asciiTheme="majorHAnsi" w:eastAsia="Calibri" w:hAnsiTheme="majorHAnsi" w:cs="Arial"/>
          <w:sz w:val="24"/>
        </w:rPr>
        <w:t xml:space="preserve"> (Yemeni Ministry of Finance, 201</w:t>
      </w:r>
      <w:r w:rsidR="004C1AA2" w:rsidRPr="0072532F">
        <w:rPr>
          <w:rFonts w:asciiTheme="majorHAnsi" w:eastAsia="Calibri" w:hAnsiTheme="majorHAnsi" w:cs="Arial"/>
          <w:sz w:val="24"/>
        </w:rPr>
        <w:t>3)</w:t>
      </w:r>
      <w:r w:rsidR="0005477E">
        <w:rPr>
          <w:rFonts w:asciiTheme="majorHAnsi" w:eastAsia="Calibri" w:hAnsiTheme="majorHAnsi" w:cs="Arial"/>
          <w:sz w:val="24"/>
        </w:rPr>
        <w:t xml:space="preserve">. </w:t>
      </w:r>
      <w:r w:rsidR="0005477E">
        <w:rPr>
          <w:rFonts w:asciiTheme="majorHAnsi" w:hAnsiTheme="majorHAnsi" w:cstheme="majorBidi"/>
          <w:sz w:val="24"/>
          <w:szCs w:val="24"/>
        </w:rPr>
        <w:t xml:space="preserve">Owing to the nature of revenue sources in Yemen, central revenues are estimated to account for 98% in 2013 fiscal budget while local revenues are estimated to account for 2% of total revenues. As a result, the central subsidies to local authority is projected to account for </w:t>
      </w:r>
      <w:r w:rsidR="00670FED">
        <w:rPr>
          <w:rFonts w:asciiTheme="majorHAnsi" w:hAnsiTheme="majorHAnsi" w:cstheme="majorBidi"/>
          <w:sz w:val="24"/>
          <w:szCs w:val="24"/>
        </w:rPr>
        <w:t xml:space="preserve">more than </w:t>
      </w:r>
      <w:r w:rsidR="0005477E">
        <w:rPr>
          <w:rFonts w:asciiTheme="majorHAnsi" w:hAnsiTheme="majorHAnsi" w:cstheme="majorBidi"/>
          <w:sz w:val="24"/>
          <w:szCs w:val="24"/>
        </w:rPr>
        <w:t xml:space="preserve">90% of local authority's </w:t>
      </w:r>
      <w:r w:rsidR="001619C1">
        <w:rPr>
          <w:rFonts w:asciiTheme="majorHAnsi" w:hAnsiTheme="majorHAnsi" w:cstheme="majorBidi"/>
          <w:sz w:val="24"/>
          <w:szCs w:val="24"/>
        </w:rPr>
        <w:t>total expending</w:t>
      </w:r>
      <w:r w:rsidR="0005477E">
        <w:rPr>
          <w:rFonts w:asciiTheme="majorHAnsi" w:hAnsiTheme="majorHAnsi" w:cstheme="majorBidi"/>
          <w:sz w:val="24"/>
          <w:szCs w:val="24"/>
        </w:rPr>
        <w:t xml:space="preserve"> in 2013.</w:t>
      </w:r>
    </w:p>
    <w:p w:rsidR="00EE5E6A" w:rsidRDefault="00EE5E6A" w:rsidP="004C0067">
      <w:pPr>
        <w:jc w:val="center"/>
        <w:rPr>
          <w:rFonts w:asciiTheme="majorHAnsi" w:hAnsiTheme="majorHAnsi" w:cstheme="majorBidi"/>
          <w:b/>
          <w:bCs/>
          <w:sz w:val="24"/>
          <w:szCs w:val="24"/>
        </w:rPr>
      </w:pPr>
    </w:p>
    <w:p w:rsidR="00FE11E1" w:rsidRDefault="00FE11E1" w:rsidP="004C0067">
      <w:pPr>
        <w:jc w:val="center"/>
        <w:rPr>
          <w:rFonts w:asciiTheme="majorHAnsi" w:hAnsiTheme="majorHAnsi" w:cstheme="majorBidi"/>
          <w:b/>
          <w:bCs/>
          <w:sz w:val="24"/>
          <w:szCs w:val="24"/>
        </w:rPr>
      </w:pPr>
      <w:r w:rsidRPr="0072532F">
        <w:rPr>
          <w:rFonts w:asciiTheme="majorHAnsi" w:hAnsiTheme="majorHAnsi" w:cstheme="majorBidi"/>
          <w:b/>
          <w:bCs/>
          <w:sz w:val="24"/>
          <w:szCs w:val="24"/>
        </w:rPr>
        <w:t xml:space="preserve">Current Fiscal </w:t>
      </w:r>
      <w:r w:rsidR="004C0067">
        <w:rPr>
          <w:rFonts w:asciiTheme="majorHAnsi" w:hAnsiTheme="majorHAnsi" w:cstheme="majorBidi"/>
          <w:b/>
          <w:bCs/>
          <w:sz w:val="24"/>
          <w:szCs w:val="24"/>
        </w:rPr>
        <w:t>System</w:t>
      </w:r>
    </w:p>
    <w:p w:rsidR="004C0067" w:rsidRPr="0072532F" w:rsidRDefault="004C0067" w:rsidP="004C0067">
      <w:pPr>
        <w:rPr>
          <w:rFonts w:asciiTheme="majorHAnsi" w:hAnsiTheme="majorHAnsi" w:cstheme="majorBidi"/>
          <w:b/>
          <w:bCs/>
          <w:sz w:val="24"/>
          <w:szCs w:val="24"/>
        </w:rPr>
      </w:pPr>
      <w:r>
        <w:rPr>
          <w:rFonts w:asciiTheme="majorHAnsi" w:hAnsiTheme="majorHAnsi" w:cstheme="majorBidi"/>
          <w:b/>
          <w:bCs/>
          <w:sz w:val="24"/>
          <w:szCs w:val="24"/>
        </w:rPr>
        <w:t>Local Authority</w:t>
      </w:r>
    </w:p>
    <w:p w:rsidR="00FE11E1" w:rsidRPr="0072532F" w:rsidRDefault="00FE11E1" w:rsidP="00FE11E1">
      <w:pPr>
        <w:spacing w:line="480" w:lineRule="auto"/>
        <w:ind w:firstLine="720"/>
        <w:rPr>
          <w:rFonts w:asciiTheme="majorHAnsi" w:hAnsiTheme="majorHAnsi" w:cstheme="majorBidi"/>
          <w:sz w:val="24"/>
          <w:szCs w:val="24"/>
        </w:rPr>
      </w:pPr>
      <w:r w:rsidRPr="0072532F">
        <w:rPr>
          <w:rFonts w:asciiTheme="majorHAnsi" w:hAnsiTheme="majorHAnsi" w:cstheme="majorBidi"/>
          <w:sz w:val="24"/>
          <w:szCs w:val="24"/>
        </w:rPr>
        <w:t xml:space="preserve">The Local Authority Law </w:t>
      </w:r>
      <w:r w:rsidR="00382C6B">
        <w:rPr>
          <w:rFonts w:asciiTheme="majorHAnsi" w:hAnsiTheme="majorHAnsi" w:cstheme="majorBidi"/>
          <w:sz w:val="24"/>
          <w:szCs w:val="24"/>
        </w:rPr>
        <w:t xml:space="preserve">of 2000 </w:t>
      </w:r>
      <w:r w:rsidRPr="0072532F">
        <w:rPr>
          <w:rFonts w:asciiTheme="majorHAnsi" w:hAnsiTheme="majorHAnsi" w:cstheme="majorBidi"/>
          <w:sz w:val="24"/>
          <w:szCs w:val="24"/>
        </w:rPr>
        <w:t>seeks to fiscally decentralize the Yemeni government by increasing local budgetary autonomy. Before 1999, fiscal allocations were tightly controlled by the central government, creating delays in local development projects.  Most local revenues generated through taxes and fees were transferred to the capital, Sana’a, with virtually all of local budgets coming from fund transfers from the national government. The new law provides that local authorities will keep revenues collected at the local level. Portions of monies collected by the central government will be distributed to</w:t>
      </w:r>
      <w:r w:rsidR="004C1272">
        <w:rPr>
          <w:rFonts w:asciiTheme="majorHAnsi" w:hAnsiTheme="majorHAnsi" w:cstheme="majorBidi"/>
          <w:sz w:val="24"/>
          <w:szCs w:val="24"/>
        </w:rPr>
        <w:t xml:space="preserve"> </w:t>
      </w:r>
      <w:r w:rsidRPr="0072532F">
        <w:rPr>
          <w:rFonts w:asciiTheme="majorHAnsi" w:hAnsiTheme="majorHAnsi" w:cstheme="majorBidi"/>
          <w:sz w:val="24"/>
          <w:szCs w:val="24"/>
        </w:rPr>
        <w:t>municipalities based on population density</w:t>
      </w:r>
      <w:r w:rsidR="00670FED">
        <w:rPr>
          <w:rFonts w:asciiTheme="majorHAnsi" w:hAnsiTheme="majorHAnsi" w:cstheme="majorBidi"/>
          <w:sz w:val="24"/>
          <w:szCs w:val="24"/>
        </w:rPr>
        <w:t xml:space="preserve"> (See Appendix: Governorates' Population Density)</w:t>
      </w:r>
      <w:r w:rsidRPr="0072532F">
        <w:rPr>
          <w:rFonts w:asciiTheme="majorHAnsi" w:hAnsiTheme="majorHAnsi" w:cstheme="majorBidi"/>
          <w:sz w:val="24"/>
          <w:szCs w:val="24"/>
        </w:rPr>
        <w:t>.</w:t>
      </w:r>
    </w:p>
    <w:p w:rsidR="00FE11E1" w:rsidRPr="0072532F" w:rsidRDefault="00FE11E1" w:rsidP="00382C6B">
      <w:pPr>
        <w:spacing w:line="480" w:lineRule="auto"/>
        <w:ind w:firstLine="720"/>
        <w:rPr>
          <w:rFonts w:asciiTheme="majorHAnsi" w:hAnsiTheme="majorHAnsi" w:cstheme="majorBidi"/>
          <w:sz w:val="24"/>
          <w:szCs w:val="24"/>
        </w:rPr>
      </w:pPr>
      <w:r w:rsidRPr="0072532F">
        <w:rPr>
          <w:rFonts w:asciiTheme="majorHAnsi" w:hAnsiTheme="majorHAnsi" w:cstheme="majorBidi"/>
          <w:sz w:val="24"/>
          <w:szCs w:val="24"/>
        </w:rPr>
        <w:t xml:space="preserve">The Local Authority Law was passed to translate </w:t>
      </w:r>
      <w:r w:rsidR="009C154B">
        <w:rPr>
          <w:rFonts w:asciiTheme="majorHAnsi" w:hAnsiTheme="majorHAnsi" w:cstheme="majorBidi"/>
          <w:sz w:val="24"/>
          <w:szCs w:val="24"/>
        </w:rPr>
        <w:t>the</w:t>
      </w:r>
      <w:r w:rsidRPr="0072532F">
        <w:rPr>
          <w:rFonts w:asciiTheme="majorHAnsi" w:hAnsiTheme="majorHAnsi" w:cstheme="majorBidi"/>
          <w:sz w:val="24"/>
          <w:szCs w:val="24"/>
        </w:rPr>
        <w:t xml:space="preserve"> principles </w:t>
      </w:r>
      <w:r w:rsidR="009C154B">
        <w:rPr>
          <w:rFonts w:asciiTheme="majorHAnsi" w:hAnsiTheme="majorHAnsi" w:cstheme="majorBidi"/>
          <w:sz w:val="24"/>
          <w:szCs w:val="24"/>
        </w:rPr>
        <w:t xml:space="preserve">of decentralization </w:t>
      </w:r>
      <w:r w:rsidRPr="0072532F">
        <w:rPr>
          <w:rFonts w:asciiTheme="majorHAnsi" w:hAnsiTheme="majorHAnsi" w:cstheme="majorBidi"/>
          <w:sz w:val="24"/>
          <w:szCs w:val="24"/>
        </w:rPr>
        <w:t>and the general framework of the local authority as prescribed in the Country's Constitution. A series of resolutions  were followed and represented in the followings Presidential decrees:</w:t>
      </w:r>
    </w:p>
    <w:p w:rsidR="00FE11E1" w:rsidRPr="0072532F" w:rsidRDefault="00FE11E1" w:rsidP="00FE11E1">
      <w:pPr>
        <w:pStyle w:val="ListParagraph"/>
        <w:numPr>
          <w:ilvl w:val="0"/>
          <w:numId w:val="2"/>
        </w:numPr>
        <w:rPr>
          <w:rFonts w:asciiTheme="majorHAnsi" w:hAnsiTheme="majorHAnsi" w:cstheme="majorBidi"/>
          <w:sz w:val="24"/>
          <w:szCs w:val="24"/>
        </w:rPr>
      </w:pPr>
      <w:r w:rsidRPr="0072532F">
        <w:rPr>
          <w:rFonts w:asciiTheme="majorHAnsi" w:hAnsiTheme="majorHAnsi" w:cstheme="majorBidi"/>
          <w:sz w:val="24"/>
          <w:szCs w:val="24"/>
        </w:rPr>
        <w:lastRenderedPageBreak/>
        <w:t>Presidential Decree No. (269) for the year 2000 on the Regulations of the Local Authority Act.</w:t>
      </w:r>
    </w:p>
    <w:p w:rsidR="00FE11E1" w:rsidRPr="0072532F" w:rsidRDefault="00FE11E1" w:rsidP="00FE11E1">
      <w:pPr>
        <w:pStyle w:val="ListParagraph"/>
        <w:numPr>
          <w:ilvl w:val="0"/>
          <w:numId w:val="2"/>
        </w:numPr>
        <w:rPr>
          <w:rFonts w:asciiTheme="majorHAnsi" w:hAnsiTheme="majorHAnsi" w:cstheme="majorBidi"/>
          <w:sz w:val="24"/>
          <w:szCs w:val="24"/>
        </w:rPr>
      </w:pPr>
      <w:r w:rsidRPr="0072532F">
        <w:rPr>
          <w:rFonts w:asciiTheme="majorHAnsi" w:hAnsiTheme="majorHAnsi" w:cstheme="majorBidi"/>
          <w:sz w:val="24"/>
          <w:szCs w:val="24"/>
        </w:rPr>
        <w:t>Presidential Decree No. (24) for the year 2001 on the Financial Regulations of the local authority.</w:t>
      </w:r>
    </w:p>
    <w:p w:rsidR="00FE11E1" w:rsidRPr="0072532F" w:rsidRDefault="00FE11E1" w:rsidP="009C154B">
      <w:pPr>
        <w:spacing w:line="480" w:lineRule="auto"/>
        <w:ind w:firstLine="709"/>
        <w:rPr>
          <w:rFonts w:asciiTheme="majorHAnsi" w:hAnsiTheme="majorHAnsi" w:cstheme="majorBidi"/>
          <w:sz w:val="24"/>
          <w:szCs w:val="24"/>
        </w:rPr>
      </w:pPr>
      <w:r w:rsidRPr="0072532F">
        <w:rPr>
          <w:rFonts w:asciiTheme="majorHAnsi" w:hAnsiTheme="majorHAnsi" w:cstheme="majorBidi"/>
          <w:sz w:val="24"/>
          <w:szCs w:val="24"/>
        </w:rPr>
        <w:t>Those legislations have resulted in changes in the powers and the authority of managing the internal affairs of Yemen, particularly in the service affairs and the classification of the fiscal budget into revenues and expenditures.</w:t>
      </w:r>
    </w:p>
    <w:p w:rsidR="00FE11E1" w:rsidRPr="0072532F" w:rsidRDefault="00FE11E1" w:rsidP="00FE11E1">
      <w:pPr>
        <w:spacing w:line="480" w:lineRule="auto"/>
        <w:rPr>
          <w:rFonts w:asciiTheme="majorHAnsi" w:hAnsiTheme="majorHAnsi" w:cstheme="majorBidi"/>
          <w:sz w:val="24"/>
          <w:szCs w:val="24"/>
        </w:rPr>
      </w:pPr>
      <w:r w:rsidRPr="0072532F">
        <w:rPr>
          <w:rFonts w:asciiTheme="majorHAnsi" w:hAnsiTheme="majorHAnsi" w:cstheme="majorBidi"/>
          <w:b/>
          <w:bCs/>
          <w:sz w:val="24"/>
          <w:szCs w:val="24"/>
        </w:rPr>
        <w:t>Authority division</w:t>
      </w:r>
      <w:r w:rsidR="009C154B">
        <w:rPr>
          <w:rFonts w:asciiTheme="majorHAnsi" w:hAnsiTheme="majorHAnsi" w:cstheme="majorBidi"/>
          <w:b/>
          <w:bCs/>
          <w:sz w:val="24"/>
          <w:szCs w:val="24"/>
        </w:rPr>
        <w:t>s</w:t>
      </w:r>
      <w:r w:rsidRPr="0072532F">
        <w:rPr>
          <w:rFonts w:asciiTheme="majorHAnsi" w:hAnsiTheme="majorHAnsi" w:cstheme="majorBidi"/>
          <w:b/>
          <w:bCs/>
          <w:sz w:val="24"/>
          <w:szCs w:val="24"/>
        </w:rPr>
        <w:t xml:space="preserve"> and Powers Structure </w:t>
      </w:r>
    </w:p>
    <w:p w:rsidR="00FE11E1" w:rsidRPr="0072532F" w:rsidRDefault="00FE11E1" w:rsidP="00FE11E1">
      <w:pPr>
        <w:spacing w:line="480" w:lineRule="auto"/>
        <w:ind w:left="709"/>
        <w:rPr>
          <w:rFonts w:asciiTheme="majorHAnsi" w:hAnsiTheme="majorHAnsi" w:cstheme="majorBidi"/>
          <w:sz w:val="24"/>
          <w:szCs w:val="24"/>
        </w:rPr>
      </w:pPr>
      <w:r w:rsidRPr="0072532F">
        <w:rPr>
          <w:rFonts w:asciiTheme="majorHAnsi" w:hAnsiTheme="majorHAnsi" w:cstheme="majorBidi"/>
          <w:sz w:val="24"/>
          <w:szCs w:val="24"/>
        </w:rPr>
        <w:t>Under the current system, the government body is divided into two levels of governance:</w:t>
      </w:r>
    </w:p>
    <w:p w:rsidR="00FE11E1" w:rsidRPr="0072532F" w:rsidRDefault="00FE11E1" w:rsidP="00FE11E1">
      <w:pPr>
        <w:pStyle w:val="ListParagraph"/>
        <w:numPr>
          <w:ilvl w:val="0"/>
          <w:numId w:val="4"/>
        </w:numPr>
        <w:spacing w:line="480" w:lineRule="auto"/>
        <w:ind w:left="709" w:hanging="425"/>
        <w:rPr>
          <w:rFonts w:asciiTheme="majorHAnsi" w:hAnsiTheme="majorHAnsi" w:cstheme="majorBidi"/>
          <w:sz w:val="24"/>
          <w:szCs w:val="24"/>
        </w:rPr>
      </w:pPr>
      <w:r w:rsidRPr="0072532F">
        <w:rPr>
          <w:rFonts w:asciiTheme="majorHAnsi" w:hAnsiTheme="majorHAnsi" w:cstheme="majorBidi"/>
          <w:b/>
          <w:bCs/>
          <w:sz w:val="24"/>
          <w:szCs w:val="24"/>
        </w:rPr>
        <w:t>Central Authority (National)</w:t>
      </w:r>
      <w:r w:rsidRPr="0072532F">
        <w:rPr>
          <w:rFonts w:asciiTheme="majorHAnsi" w:hAnsiTheme="majorHAnsi" w:cstheme="majorBidi"/>
          <w:sz w:val="24"/>
          <w:szCs w:val="24"/>
        </w:rPr>
        <w:t>, which consists of:</w:t>
      </w:r>
    </w:p>
    <w:p w:rsidR="00FE11E1" w:rsidRPr="0072532F" w:rsidRDefault="00FE11E1" w:rsidP="00FE11E1">
      <w:pPr>
        <w:pStyle w:val="ListParagraph"/>
        <w:numPr>
          <w:ilvl w:val="1"/>
          <w:numId w:val="4"/>
        </w:numPr>
        <w:spacing w:line="480" w:lineRule="auto"/>
        <w:ind w:left="1418"/>
        <w:rPr>
          <w:rFonts w:asciiTheme="majorHAnsi" w:hAnsiTheme="majorHAnsi" w:cstheme="majorBidi"/>
          <w:sz w:val="24"/>
          <w:szCs w:val="24"/>
        </w:rPr>
      </w:pPr>
      <w:r w:rsidRPr="0072532F">
        <w:rPr>
          <w:rFonts w:asciiTheme="majorHAnsi" w:hAnsiTheme="majorHAnsi" w:cstheme="majorBidi"/>
          <w:sz w:val="24"/>
          <w:szCs w:val="24"/>
        </w:rPr>
        <w:t>The legislature (Parliament)</w:t>
      </w:r>
    </w:p>
    <w:p w:rsidR="00FE11E1" w:rsidRPr="0072532F" w:rsidRDefault="00FE11E1" w:rsidP="00FE11E1">
      <w:pPr>
        <w:pStyle w:val="ListParagraph"/>
        <w:numPr>
          <w:ilvl w:val="1"/>
          <w:numId w:val="4"/>
        </w:numPr>
        <w:spacing w:line="480" w:lineRule="auto"/>
        <w:ind w:left="1418"/>
        <w:rPr>
          <w:rFonts w:asciiTheme="majorHAnsi" w:hAnsiTheme="majorHAnsi" w:cstheme="majorBidi"/>
          <w:sz w:val="24"/>
          <w:szCs w:val="24"/>
        </w:rPr>
      </w:pPr>
      <w:r w:rsidRPr="0072532F">
        <w:rPr>
          <w:rFonts w:asciiTheme="majorHAnsi" w:hAnsiTheme="majorHAnsi" w:cstheme="majorBidi"/>
          <w:sz w:val="24"/>
          <w:szCs w:val="24"/>
        </w:rPr>
        <w:t xml:space="preserve">The judiciary body </w:t>
      </w:r>
    </w:p>
    <w:p w:rsidR="00FE11E1" w:rsidRPr="0072532F" w:rsidRDefault="00FE11E1" w:rsidP="00FE11E1">
      <w:pPr>
        <w:pStyle w:val="ListParagraph"/>
        <w:numPr>
          <w:ilvl w:val="1"/>
          <w:numId w:val="4"/>
        </w:numPr>
        <w:spacing w:line="480" w:lineRule="auto"/>
        <w:ind w:left="1418"/>
        <w:rPr>
          <w:rFonts w:asciiTheme="majorHAnsi" w:hAnsiTheme="majorHAnsi" w:cstheme="majorBidi"/>
          <w:sz w:val="24"/>
          <w:szCs w:val="24"/>
        </w:rPr>
      </w:pPr>
      <w:r w:rsidRPr="0072532F">
        <w:rPr>
          <w:rFonts w:asciiTheme="majorHAnsi" w:hAnsiTheme="majorHAnsi" w:cstheme="majorBidi"/>
          <w:sz w:val="24"/>
          <w:szCs w:val="24"/>
        </w:rPr>
        <w:t xml:space="preserve">The armed forces and security </w:t>
      </w:r>
    </w:p>
    <w:p w:rsidR="00FE11E1" w:rsidRPr="0072532F" w:rsidRDefault="00FE11E1" w:rsidP="00FE11E1">
      <w:pPr>
        <w:pStyle w:val="ListParagraph"/>
        <w:numPr>
          <w:ilvl w:val="1"/>
          <w:numId w:val="4"/>
        </w:numPr>
        <w:spacing w:line="480" w:lineRule="auto"/>
        <w:ind w:left="1418"/>
        <w:rPr>
          <w:rFonts w:asciiTheme="majorHAnsi" w:hAnsiTheme="majorHAnsi" w:cstheme="majorBidi"/>
          <w:sz w:val="24"/>
          <w:szCs w:val="24"/>
        </w:rPr>
      </w:pPr>
      <w:r w:rsidRPr="0072532F">
        <w:rPr>
          <w:rFonts w:asciiTheme="majorHAnsi" w:hAnsiTheme="majorHAnsi" w:cstheme="majorBidi"/>
          <w:sz w:val="24"/>
          <w:szCs w:val="24"/>
        </w:rPr>
        <w:t>The Central Organization for Control and Audit and its branches</w:t>
      </w:r>
    </w:p>
    <w:p w:rsidR="00FE11E1" w:rsidRPr="0072532F" w:rsidRDefault="00FE11E1" w:rsidP="00FE11E1">
      <w:pPr>
        <w:pStyle w:val="ListParagraph"/>
        <w:numPr>
          <w:ilvl w:val="1"/>
          <w:numId w:val="4"/>
        </w:numPr>
        <w:spacing w:line="480" w:lineRule="auto"/>
        <w:ind w:left="1418"/>
        <w:rPr>
          <w:rFonts w:asciiTheme="majorHAnsi" w:hAnsiTheme="majorHAnsi" w:cstheme="majorBidi"/>
          <w:sz w:val="24"/>
          <w:szCs w:val="24"/>
        </w:rPr>
      </w:pPr>
      <w:r w:rsidRPr="0072532F">
        <w:rPr>
          <w:rFonts w:asciiTheme="majorHAnsi" w:hAnsiTheme="majorHAnsi" w:cstheme="majorBidi"/>
          <w:sz w:val="24"/>
          <w:szCs w:val="24"/>
        </w:rPr>
        <w:t>The line ministries and its agencies</w:t>
      </w:r>
    </w:p>
    <w:p w:rsidR="00FE11E1" w:rsidRPr="0072532F" w:rsidRDefault="00FE11E1" w:rsidP="00FE11E1">
      <w:pPr>
        <w:pStyle w:val="ListParagraph"/>
        <w:numPr>
          <w:ilvl w:val="1"/>
          <w:numId w:val="4"/>
        </w:numPr>
        <w:spacing w:line="480" w:lineRule="auto"/>
        <w:ind w:left="1418"/>
        <w:rPr>
          <w:rFonts w:asciiTheme="majorHAnsi" w:hAnsiTheme="majorHAnsi" w:cstheme="majorBidi"/>
          <w:sz w:val="24"/>
          <w:szCs w:val="24"/>
        </w:rPr>
      </w:pPr>
      <w:r w:rsidRPr="0072532F">
        <w:rPr>
          <w:rFonts w:asciiTheme="majorHAnsi" w:hAnsiTheme="majorHAnsi" w:cstheme="majorBidi"/>
          <w:sz w:val="24"/>
          <w:szCs w:val="24"/>
        </w:rPr>
        <w:t>The general agencies and institutions and its branches</w:t>
      </w:r>
    </w:p>
    <w:p w:rsidR="00FE11E1" w:rsidRPr="0072532F" w:rsidRDefault="00FE11E1" w:rsidP="00FE11E1">
      <w:pPr>
        <w:pStyle w:val="ListParagraph"/>
        <w:numPr>
          <w:ilvl w:val="1"/>
          <w:numId w:val="4"/>
        </w:numPr>
        <w:spacing w:line="480" w:lineRule="auto"/>
        <w:ind w:left="1418"/>
        <w:rPr>
          <w:rFonts w:asciiTheme="majorHAnsi" w:hAnsiTheme="majorHAnsi" w:cstheme="majorBidi"/>
          <w:sz w:val="24"/>
          <w:szCs w:val="24"/>
        </w:rPr>
      </w:pPr>
      <w:r w:rsidRPr="0072532F">
        <w:rPr>
          <w:rFonts w:asciiTheme="majorHAnsi" w:hAnsiTheme="majorHAnsi" w:cstheme="majorBidi"/>
          <w:sz w:val="24"/>
          <w:szCs w:val="24"/>
        </w:rPr>
        <w:t>All institutions that have a public general purpose in the national level such as the Shura Council, the Office of the Presidency and its branches, the Prime Minister's office and its branches</w:t>
      </w:r>
    </w:p>
    <w:p w:rsidR="00FE11E1" w:rsidRPr="0072532F" w:rsidRDefault="00FE11E1" w:rsidP="00FE11E1">
      <w:pPr>
        <w:pStyle w:val="ListParagraph"/>
        <w:numPr>
          <w:ilvl w:val="0"/>
          <w:numId w:val="4"/>
        </w:numPr>
        <w:spacing w:line="480" w:lineRule="auto"/>
        <w:ind w:left="709" w:hanging="425"/>
        <w:rPr>
          <w:rFonts w:asciiTheme="majorHAnsi" w:hAnsiTheme="majorHAnsi" w:cstheme="majorBidi"/>
          <w:sz w:val="24"/>
          <w:szCs w:val="24"/>
        </w:rPr>
      </w:pPr>
      <w:r w:rsidRPr="0072532F">
        <w:rPr>
          <w:rFonts w:asciiTheme="majorHAnsi" w:hAnsiTheme="majorHAnsi" w:cstheme="majorBidi"/>
          <w:b/>
          <w:bCs/>
          <w:sz w:val="24"/>
          <w:szCs w:val="24"/>
        </w:rPr>
        <w:t>Local Authority (Sub-national)</w:t>
      </w:r>
      <w:r w:rsidRPr="0072532F">
        <w:rPr>
          <w:rFonts w:asciiTheme="majorHAnsi" w:hAnsiTheme="majorHAnsi" w:cstheme="majorBidi"/>
          <w:sz w:val="24"/>
          <w:szCs w:val="24"/>
        </w:rPr>
        <w:t>, which consists of:</w:t>
      </w:r>
    </w:p>
    <w:p w:rsidR="00FE11E1" w:rsidRPr="0072532F" w:rsidRDefault="00FE11E1" w:rsidP="00FE11E1">
      <w:pPr>
        <w:pStyle w:val="ListParagraph"/>
        <w:numPr>
          <w:ilvl w:val="1"/>
          <w:numId w:val="4"/>
        </w:numPr>
        <w:spacing w:line="480" w:lineRule="auto"/>
        <w:ind w:left="1418"/>
        <w:rPr>
          <w:rFonts w:asciiTheme="majorHAnsi" w:hAnsiTheme="majorHAnsi" w:cstheme="majorBidi"/>
          <w:sz w:val="24"/>
          <w:szCs w:val="24"/>
        </w:rPr>
      </w:pPr>
      <w:r w:rsidRPr="0072532F">
        <w:rPr>
          <w:rFonts w:asciiTheme="majorHAnsi" w:hAnsiTheme="majorHAnsi" w:cstheme="majorBidi"/>
          <w:sz w:val="24"/>
          <w:szCs w:val="24"/>
        </w:rPr>
        <w:t>Head of the Administrative Unit (a governor of the governorate and a director of the district)</w:t>
      </w:r>
    </w:p>
    <w:p w:rsidR="00FE11E1" w:rsidRPr="0072532F" w:rsidRDefault="00FE11E1" w:rsidP="00FE11E1">
      <w:pPr>
        <w:pStyle w:val="ListParagraph"/>
        <w:numPr>
          <w:ilvl w:val="1"/>
          <w:numId w:val="4"/>
        </w:numPr>
        <w:spacing w:line="480" w:lineRule="auto"/>
        <w:ind w:left="1418"/>
        <w:rPr>
          <w:rFonts w:asciiTheme="majorHAnsi" w:hAnsiTheme="majorHAnsi" w:cstheme="majorBidi"/>
          <w:sz w:val="24"/>
          <w:szCs w:val="24"/>
        </w:rPr>
      </w:pPr>
      <w:r w:rsidRPr="0072532F">
        <w:rPr>
          <w:rFonts w:asciiTheme="majorHAnsi" w:hAnsiTheme="majorHAnsi" w:cstheme="majorBidi"/>
          <w:sz w:val="24"/>
          <w:szCs w:val="24"/>
        </w:rPr>
        <w:t>Producing local councils</w:t>
      </w:r>
    </w:p>
    <w:p w:rsidR="00FE11E1" w:rsidRPr="0072532F" w:rsidRDefault="00FE11E1" w:rsidP="00FE11E1">
      <w:pPr>
        <w:pStyle w:val="ListParagraph"/>
        <w:numPr>
          <w:ilvl w:val="1"/>
          <w:numId w:val="4"/>
        </w:numPr>
        <w:spacing w:line="480" w:lineRule="auto"/>
        <w:ind w:left="1418"/>
        <w:rPr>
          <w:rFonts w:asciiTheme="majorHAnsi" w:hAnsiTheme="majorHAnsi" w:cstheme="majorBidi"/>
          <w:sz w:val="24"/>
          <w:szCs w:val="24"/>
        </w:rPr>
      </w:pPr>
      <w:r w:rsidRPr="0072532F">
        <w:rPr>
          <w:rFonts w:asciiTheme="majorHAnsi" w:hAnsiTheme="majorHAnsi" w:cstheme="majorBidi"/>
          <w:sz w:val="24"/>
          <w:szCs w:val="24"/>
        </w:rPr>
        <w:lastRenderedPageBreak/>
        <w:t>Line ministries' executive agencies in the administrative units (governorate and the district)</w:t>
      </w:r>
    </w:p>
    <w:p w:rsidR="00FE11E1" w:rsidRPr="0072532F" w:rsidRDefault="00FE11E1" w:rsidP="00EE5E6A">
      <w:pPr>
        <w:spacing w:line="480" w:lineRule="auto"/>
        <w:ind w:firstLine="709"/>
        <w:rPr>
          <w:rFonts w:asciiTheme="majorHAnsi" w:hAnsiTheme="majorHAnsi" w:cstheme="majorBidi"/>
          <w:sz w:val="24"/>
          <w:szCs w:val="24"/>
        </w:rPr>
      </w:pPr>
      <w:r w:rsidRPr="0072532F">
        <w:rPr>
          <w:rFonts w:asciiTheme="majorHAnsi" w:hAnsiTheme="majorHAnsi" w:cstheme="majorBidi"/>
          <w:sz w:val="24"/>
          <w:szCs w:val="24"/>
        </w:rPr>
        <w:t>As a result of the Local Authority Law and its bylaws,  local administrative units were given fiscal powers and authorities which define the scope and nature of their expenditures and sources of funding. Expenditures of local administrative units ha</w:t>
      </w:r>
      <w:r w:rsidR="00EE5E6A">
        <w:rPr>
          <w:rFonts w:asciiTheme="majorHAnsi" w:hAnsiTheme="majorHAnsi" w:cstheme="majorBidi"/>
          <w:sz w:val="24"/>
          <w:szCs w:val="24"/>
        </w:rPr>
        <w:t>ve</w:t>
      </w:r>
      <w:r w:rsidRPr="0072532F">
        <w:rPr>
          <w:rFonts w:asciiTheme="majorHAnsi" w:hAnsiTheme="majorHAnsi" w:cstheme="majorBidi"/>
          <w:sz w:val="24"/>
          <w:szCs w:val="24"/>
        </w:rPr>
        <w:t xml:space="preserve"> been classified into two sections:</w:t>
      </w:r>
    </w:p>
    <w:p w:rsidR="00FE11E1" w:rsidRPr="0072532F" w:rsidRDefault="00FE11E1" w:rsidP="00FE11E1">
      <w:pPr>
        <w:pStyle w:val="ListParagraph"/>
        <w:numPr>
          <w:ilvl w:val="0"/>
          <w:numId w:val="5"/>
        </w:numPr>
        <w:spacing w:line="480" w:lineRule="auto"/>
        <w:ind w:left="1276"/>
        <w:rPr>
          <w:rFonts w:asciiTheme="majorHAnsi" w:hAnsiTheme="majorHAnsi" w:cstheme="majorBidi"/>
          <w:sz w:val="24"/>
          <w:szCs w:val="24"/>
        </w:rPr>
      </w:pPr>
      <w:r w:rsidRPr="0072532F">
        <w:rPr>
          <w:rFonts w:asciiTheme="majorHAnsi" w:hAnsiTheme="majorHAnsi" w:cstheme="majorBidi"/>
          <w:b/>
          <w:bCs/>
          <w:sz w:val="24"/>
          <w:szCs w:val="24"/>
        </w:rPr>
        <w:t>Current Expenditures</w:t>
      </w:r>
      <w:r w:rsidRPr="0072532F">
        <w:rPr>
          <w:rFonts w:asciiTheme="majorHAnsi" w:hAnsiTheme="majorHAnsi" w:cstheme="majorBidi"/>
          <w:sz w:val="24"/>
          <w:szCs w:val="24"/>
        </w:rPr>
        <w:t>: that include all management and operational expenses of the units such as salaries, wages, benefits to its employees, and operating expenses (goods, services and maintenance), subsidies and financial aid.</w:t>
      </w:r>
    </w:p>
    <w:p w:rsidR="00FE11E1" w:rsidRPr="0072532F" w:rsidRDefault="00FE11E1" w:rsidP="00FE11E1">
      <w:pPr>
        <w:pStyle w:val="ListParagraph"/>
        <w:numPr>
          <w:ilvl w:val="0"/>
          <w:numId w:val="5"/>
        </w:numPr>
        <w:spacing w:line="480" w:lineRule="auto"/>
        <w:ind w:left="1276"/>
        <w:rPr>
          <w:rFonts w:asciiTheme="majorHAnsi" w:hAnsiTheme="majorHAnsi" w:cstheme="majorBidi"/>
          <w:sz w:val="24"/>
          <w:szCs w:val="24"/>
        </w:rPr>
      </w:pPr>
      <w:r w:rsidRPr="0072532F">
        <w:rPr>
          <w:rFonts w:asciiTheme="majorHAnsi" w:hAnsiTheme="majorHAnsi" w:cstheme="majorBidi"/>
          <w:b/>
          <w:bCs/>
          <w:sz w:val="24"/>
          <w:szCs w:val="24"/>
        </w:rPr>
        <w:t>Capital expenditures</w:t>
      </w:r>
      <w:r w:rsidRPr="0072532F">
        <w:rPr>
          <w:rFonts w:asciiTheme="majorHAnsi" w:hAnsiTheme="majorHAnsi" w:cstheme="majorBidi"/>
          <w:sz w:val="24"/>
          <w:szCs w:val="24"/>
        </w:rPr>
        <w:t>: that include all funds spent in projects development in these units</w:t>
      </w:r>
      <w:r w:rsidR="009C154B">
        <w:rPr>
          <w:rFonts w:asciiTheme="majorHAnsi" w:hAnsiTheme="majorHAnsi" w:cstheme="majorBidi"/>
          <w:sz w:val="24"/>
          <w:szCs w:val="24"/>
        </w:rPr>
        <w:t>.</w:t>
      </w:r>
    </w:p>
    <w:p w:rsidR="00FE11E1" w:rsidRPr="0072532F" w:rsidRDefault="00FE11E1" w:rsidP="009C154B">
      <w:pPr>
        <w:spacing w:line="480" w:lineRule="auto"/>
        <w:ind w:firstLine="709"/>
        <w:rPr>
          <w:rFonts w:asciiTheme="majorHAnsi" w:hAnsiTheme="majorHAnsi" w:cstheme="majorBidi"/>
          <w:sz w:val="24"/>
          <w:szCs w:val="24"/>
        </w:rPr>
      </w:pPr>
      <w:r w:rsidRPr="0072532F">
        <w:rPr>
          <w:rFonts w:asciiTheme="majorHAnsi" w:hAnsiTheme="majorHAnsi" w:cstheme="majorBidi"/>
          <w:sz w:val="24"/>
          <w:szCs w:val="24"/>
        </w:rPr>
        <w:t>Sources of funding (Revenues) local administrative units' expenditures have been defined to include:</w:t>
      </w:r>
    </w:p>
    <w:p w:rsidR="00FE11E1" w:rsidRPr="0072532F" w:rsidRDefault="00FE11E1" w:rsidP="00FE11E1">
      <w:pPr>
        <w:pStyle w:val="ListParagraph"/>
        <w:numPr>
          <w:ilvl w:val="0"/>
          <w:numId w:val="6"/>
        </w:numPr>
        <w:spacing w:line="480" w:lineRule="auto"/>
        <w:ind w:left="1276" w:hanging="425"/>
        <w:rPr>
          <w:rFonts w:asciiTheme="majorHAnsi" w:hAnsiTheme="majorHAnsi" w:cstheme="majorBidi"/>
          <w:sz w:val="24"/>
          <w:szCs w:val="24"/>
        </w:rPr>
      </w:pPr>
      <w:r w:rsidRPr="0072532F">
        <w:rPr>
          <w:rFonts w:asciiTheme="majorHAnsi" w:hAnsiTheme="majorHAnsi" w:cstheme="majorBidi"/>
          <w:b/>
          <w:bCs/>
          <w:sz w:val="24"/>
          <w:szCs w:val="24"/>
        </w:rPr>
        <w:t>Central Subsidy:</w:t>
      </w:r>
      <w:r w:rsidRPr="0072532F">
        <w:rPr>
          <w:rFonts w:asciiTheme="majorHAnsi" w:hAnsiTheme="majorHAnsi" w:cstheme="majorBidi"/>
          <w:sz w:val="24"/>
          <w:szCs w:val="24"/>
        </w:rPr>
        <w:t xml:space="preserve"> which is the fiscal support given by the central authority to the local authority and it include</w:t>
      </w:r>
      <w:r w:rsidR="009C154B">
        <w:rPr>
          <w:rFonts w:asciiTheme="majorHAnsi" w:hAnsiTheme="majorHAnsi" w:cstheme="majorBidi"/>
          <w:sz w:val="24"/>
          <w:szCs w:val="24"/>
        </w:rPr>
        <w:t>s</w:t>
      </w:r>
      <w:r w:rsidRPr="0072532F">
        <w:rPr>
          <w:rFonts w:asciiTheme="majorHAnsi" w:hAnsiTheme="majorHAnsi" w:cstheme="majorBidi"/>
          <w:sz w:val="24"/>
          <w:szCs w:val="24"/>
        </w:rPr>
        <w:t xml:space="preserve"> two types:</w:t>
      </w:r>
    </w:p>
    <w:p w:rsidR="00FE11E1" w:rsidRDefault="00FE11E1" w:rsidP="00670FED">
      <w:pPr>
        <w:pStyle w:val="ListParagraph"/>
        <w:numPr>
          <w:ilvl w:val="1"/>
          <w:numId w:val="6"/>
        </w:numPr>
        <w:spacing w:line="480" w:lineRule="auto"/>
        <w:rPr>
          <w:rFonts w:asciiTheme="majorHAnsi" w:hAnsiTheme="majorHAnsi" w:cstheme="majorBidi"/>
          <w:sz w:val="24"/>
          <w:szCs w:val="24"/>
        </w:rPr>
      </w:pPr>
      <w:r w:rsidRPr="0072532F">
        <w:rPr>
          <w:rFonts w:asciiTheme="majorHAnsi" w:hAnsiTheme="majorHAnsi" w:cstheme="majorBidi"/>
          <w:sz w:val="24"/>
          <w:szCs w:val="24"/>
          <w:u w:val="single"/>
        </w:rPr>
        <w:t>Central Current Subsidy</w:t>
      </w:r>
      <w:r w:rsidRPr="0072532F">
        <w:rPr>
          <w:rFonts w:asciiTheme="majorHAnsi" w:hAnsiTheme="majorHAnsi" w:cstheme="majorBidi"/>
          <w:sz w:val="24"/>
          <w:szCs w:val="24"/>
        </w:rPr>
        <w:t xml:space="preserve">:  </w:t>
      </w:r>
      <w:r w:rsidR="004C0067">
        <w:rPr>
          <w:rFonts w:asciiTheme="majorHAnsi" w:hAnsiTheme="majorHAnsi" w:cstheme="majorBidi"/>
          <w:sz w:val="24"/>
          <w:szCs w:val="24"/>
        </w:rPr>
        <w:t xml:space="preserve">is </w:t>
      </w:r>
      <w:r w:rsidRPr="0072532F">
        <w:rPr>
          <w:rFonts w:asciiTheme="majorHAnsi" w:hAnsiTheme="majorHAnsi" w:cstheme="majorBidi"/>
          <w:sz w:val="24"/>
          <w:szCs w:val="24"/>
        </w:rPr>
        <w:t>given to cover all annual current expenditures</w:t>
      </w:r>
      <w:r w:rsidR="00782710">
        <w:rPr>
          <w:rFonts w:asciiTheme="majorHAnsi" w:hAnsiTheme="majorHAnsi" w:cstheme="majorBidi"/>
          <w:sz w:val="24"/>
          <w:szCs w:val="24"/>
        </w:rPr>
        <w:t xml:space="preserve"> (operational expenses and costs)</w:t>
      </w:r>
      <w:r w:rsidRPr="0072532F">
        <w:rPr>
          <w:rFonts w:asciiTheme="majorHAnsi" w:hAnsiTheme="majorHAnsi" w:cstheme="majorBidi"/>
          <w:sz w:val="24"/>
          <w:szCs w:val="24"/>
        </w:rPr>
        <w:t xml:space="preserve"> of the local authority units</w:t>
      </w:r>
      <w:r w:rsidR="006E5971">
        <w:rPr>
          <w:rFonts w:asciiTheme="majorHAnsi" w:hAnsiTheme="majorHAnsi" w:cstheme="majorBidi"/>
          <w:sz w:val="24"/>
          <w:szCs w:val="24"/>
        </w:rPr>
        <w:t xml:space="preserve"> </w:t>
      </w:r>
      <w:r w:rsidR="0042434C">
        <w:rPr>
          <w:rFonts w:asciiTheme="majorHAnsi" w:hAnsiTheme="majorHAnsi" w:cstheme="majorBidi"/>
          <w:sz w:val="24"/>
          <w:szCs w:val="24"/>
        </w:rPr>
        <w:t>according to annual</w:t>
      </w:r>
      <w:r w:rsidR="006E5971">
        <w:rPr>
          <w:rFonts w:asciiTheme="majorHAnsi" w:hAnsiTheme="majorHAnsi" w:cstheme="majorBidi"/>
          <w:sz w:val="24"/>
          <w:szCs w:val="24"/>
        </w:rPr>
        <w:t xml:space="preserve"> </w:t>
      </w:r>
      <w:r w:rsidR="0042434C">
        <w:rPr>
          <w:rFonts w:asciiTheme="majorHAnsi" w:hAnsiTheme="majorHAnsi" w:cstheme="majorBidi"/>
          <w:sz w:val="24"/>
          <w:szCs w:val="24"/>
        </w:rPr>
        <w:t>indicative</w:t>
      </w:r>
      <w:r w:rsidR="006E5971">
        <w:rPr>
          <w:rFonts w:asciiTheme="majorHAnsi" w:hAnsiTheme="majorHAnsi" w:cstheme="majorBidi"/>
          <w:sz w:val="24"/>
          <w:szCs w:val="24"/>
        </w:rPr>
        <w:t xml:space="preserve"> </w:t>
      </w:r>
      <w:r w:rsidR="004C1272">
        <w:rPr>
          <w:rFonts w:asciiTheme="majorHAnsi" w:hAnsiTheme="majorHAnsi" w:cstheme="majorBidi"/>
          <w:sz w:val="24"/>
          <w:szCs w:val="24"/>
        </w:rPr>
        <w:t xml:space="preserve">ceilings of </w:t>
      </w:r>
      <w:r w:rsidR="00772F17">
        <w:rPr>
          <w:rFonts w:asciiTheme="majorHAnsi" w:hAnsiTheme="majorHAnsi" w:cstheme="majorBidi"/>
          <w:sz w:val="24"/>
          <w:szCs w:val="24"/>
        </w:rPr>
        <w:t xml:space="preserve">expenditures </w:t>
      </w:r>
      <w:r w:rsidR="0042434C">
        <w:rPr>
          <w:rFonts w:asciiTheme="majorHAnsi" w:hAnsiTheme="majorHAnsi" w:cstheme="majorBidi"/>
          <w:sz w:val="24"/>
          <w:szCs w:val="24"/>
        </w:rPr>
        <w:t>for local authority</w:t>
      </w:r>
      <w:r w:rsidR="00155583">
        <w:rPr>
          <w:rFonts w:asciiTheme="majorHAnsi" w:hAnsiTheme="majorHAnsi" w:cstheme="majorBidi"/>
          <w:sz w:val="24"/>
          <w:szCs w:val="24"/>
        </w:rPr>
        <w:t xml:space="preserve">  In fiscal budgets preparation</w:t>
      </w:r>
      <w:r w:rsidR="00670FED">
        <w:rPr>
          <w:rFonts w:asciiTheme="majorHAnsi" w:hAnsiTheme="majorHAnsi" w:cstheme="majorBidi"/>
          <w:sz w:val="24"/>
          <w:szCs w:val="24"/>
        </w:rPr>
        <w:t xml:space="preserve"> (Table 1)</w:t>
      </w:r>
      <w:r w:rsidR="00155583">
        <w:rPr>
          <w:rFonts w:asciiTheme="majorHAnsi" w:hAnsiTheme="majorHAnsi" w:cstheme="majorBidi"/>
          <w:sz w:val="24"/>
          <w:szCs w:val="24"/>
        </w:rPr>
        <w:t xml:space="preserve">, central authority </w:t>
      </w:r>
      <w:r w:rsidR="00670FED">
        <w:rPr>
          <w:rFonts w:asciiTheme="majorHAnsi" w:hAnsiTheme="majorHAnsi" w:cstheme="majorBidi"/>
          <w:sz w:val="24"/>
          <w:szCs w:val="24"/>
        </w:rPr>
        <w:t>pays</w:t>
      </w:r>
      <w:r w:rsidR="00155583">
        <w:rPr>
          <w:rFonts w:asciiTheme="majorHAnsi" w:hAnsiTheme="majorHAnsi" w:cstheme="majorBidi"/>
          <w:sz w:val="24"/>
          <w:szCs w:val="24"/>
        </w:rPr>
        <w:t xml:space="preserve"> all local authority's current expenditure</w:t>
      </w:r>
      <w:r w:rsidR="00670FED">
        <w:rPr>
          <w:rFonts w:asciiTheme="majorHAnsi" w:hAnsiTheme="majorHAnsi" w:cstheme="majorBidi"/>
          <w:sz w:val="24"/>
          <w:szCs w:val="24"/>
        </w:rPr>
        <w:t>s (chapter 1,2 &amp;3)</w:t>
      </w:r>
      <w:r w:rsidR="00155583">
        <w:rPr>
          <w:rFonts w:asciiTheme="majorHAnsi" w:hAnsiTheme="majorHAnsi" w:cstheme="majorBidi"/>
          <w:sz w:val="24"/>
          <w:szCs w:val="24"/>
        </w:rPr>
        <w:t xml:space="preserve"> in a form of central current support.</w:t>
      </w:r>
    </w:p>
    <w:tbl>
      <w:tblPr>
        <w:tblW w:w="11345" w:type="dxa"/>
        <w:tblInd w:w="-885" w:type="dxa"/>
        <w:tblLook w:val="04A0"/>
      </w:tblPr>
      <w:tblGrid>
        <w:gridCol w:w="4160"/>
        <w:gridCol w:w="1240"/>
        <w:gridCol w:w="265"/>
        <w:gridCol w:w="3540"/>
        <w:gridCol w:w="960"/>
        <w:gridCol w:w="1180"/>
      </w:tblGrid>
      <w:tr w:rsidR="00670FED" w:rsidRPr="00670FED" w:rsidTr="0084203C">
        <w:trPr>
          <w:trHeight w:val="330"/>
        </w:trPr>
        <w:tc>
          <w:tcPr>
            <w:tcW w:w="5400" w:type="dxa"/>
            <w:gridSpan w:val="2"/>
            <w:tcBorders>
              <w:top w:val="nil"/>
              <w:left w:val="nil"/>
              <w:bottom w:val="nil"/>
              <w:right w:val="nil"/>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b/>
                <w:bCs/>
                <w:i/>
                <w:iCs/>
                <w:color w:val="000000"/>
                <w:sz w:val="24"/>
                <w:szCs w:val="24"/>
              </w:rPr>
            </w:pPr>
            <w:r w:rsidRPr="00670FED">
              <w:rPr>
                <w:rFonts w:ascii="Cambria" w:eastAsia="Times New Roman" w:hAnsi="Cambria" w:cs="Times New Roman"/>
                <w:b/>
                <w:bCs/>
                <w:color w:val="000000"/>
                <w:sz w:val="24"/>
                <w:szCs w:val="24"/>
              </w:rPr>
              <w:lastRenderedPageBreak/>
              <w:t>Table 1:</w:t>
            </w:r>
            <w:r>
              <w:rPr>
                <w:rFonts w:ascii="Cambria" w:eastAsia="Times New Roman" w:hAnsi="Cambria" w:cs="Times New Roman"/>
                <w:b/>
                <w:bCs/>
                <w:i/>
                <w:iCs/>
                <w:color w:val="000000"/>
                <w:sz w:val="24"/>
                <w:szCs w:val="24"/>
              </w:rPr>
              <w:t xml:space="preserve"> </w:t>
            </w:r>
            <w:r w:rsidRPr="00670FED">
              <w:rPr>
                <w:rFonts w:ascii="Cambria" w:eastAsia="Times New Roman" w:hAnsi="Cambria" w:cs="Times New Roman"/>
                <w:b/>
                <w:bCs/>
                <w:i/>
                <w:iCs/>
                <w:color w:val="000000"/>
                <w:sz w:val="24"/>
                <w:szCs w:val="24"/>
              </w:rPr>
              <w:t>Local Authority Budget Allocations (2012)</w:t>
            </w:r>
          </w:p>
        </w:tc>
        <w:tc>
          <w:tcPr>
            <w:tcW w:w="265" w:type="dxa"/>
            <w:tcBorders>
              <w:top w:val="nil"/>
              <w:left w:val="nil"/>
              <w:bottom w:val="nil"/>
              <w:right w:val="nil"/>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p>
        </w:tc>
        <w:tc>
          <w:tcPr>
            <w:tcW w:w="3540" w:type="dxa"/>
            <w:tcBorders>
              <w:top w:val="nil"/>
              <w:left w:val="nil"/>
              <w:bottom w:val="nil"/>
              <w:right w:val="nil"/>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p>
        </w:tc>
        <w:tc>
          <w:tcPr>
            <w:tcW w:w="960" w:type="dxa"/>
            <w:tcBorders>
              <w:top w:val="nil"/>
              <w:left w:val="nil"/>
              <w:bottom w:val="nil"/>
              <w:right w:val="nil"/>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p>
        </w:tc>
        <w:tc>
          <w:tcPr>
            <w:tcW w:w="1180" w:type="dxa"/>
            <w:tcBorders>
              <w:top w:val="nil"/>
              <w:left w:val="nil"/>
              <w:bottom w:val="nil"/>
              <w:right w:val="nil"/>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p>
        </w:tc>
      </w:tr>
      <w:tr w:rsidR="00670FED" w:rsidRPr="00670FED" w:rsidTr="0084203C">
        <w:trPr>
          <w:trHeight w:val="315"/>
        </w:trPr>
        <w:tc>
          <w:tcPr>
            <w:tcW w:w="11345"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Operational Budget</w:t>
            </w:r>
          </w:p>
        </w:tc>
      </w:tr>
      <w:tr w:rsidR="00670FED" w:rsidRPr="00670FED" w:rsidTr="0084203C">
        <w:trPr>
          <w:trHeight w:val="300"/>
        </w:trPr>
        <w:tc>
          <w:tcPr>
            <w:tcW w:w="5400"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FFFFFF"/>
              </w:rPr>
            </w:pPr>
            <w:r w:rsidRPr="00670FED">
              <w:rPr>
                <w:rFonts w:ascii="Cambria" w:eastAsia="Times New Roman" w:hAnsi="Cambria" w:cs="Times New Roman"/>
                <w:b/>
                <w:bCs/>
                <w:color w:val="FFFFFF"/>
              </w:rPr>
              <w:t>Expenditures</w:t>
            </w:r>
          </w:p>
        </w:tc>
        <w:tc>
          <w:tcPr>
            <w:tcW w:w="265" w:type="dxa"/>
            <w:tcBorders>
              <w:top w:val="nil"/>
              <w:left w:val="nil"/>
              <w:bottom w:val="single" w:sz="8" w:space="0" w:color="auto"/>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t> </w:t>
            </w:r>
          </w:p>
        </w:tc>
        <w:tc>
          <w:tcPr>
            <w:tcW w:w="5680"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670FED" w:rsidRPr="00670FED" w:rsidRDefault="00670FED" w:rsidP="00670FED">
            <w:pPr>
              <w:spacing w:after="0" w:line="240" w:lineRule="auto"/>
              <w:jc w:val="center"/>
              <w:rPr>
                <w:rFonts w:ascii="Cambria" w:eastAsia="Times New Roman" w:hAnsi="Cambria" w:cs="Times New Roman"/>
                <w:b/>
                <w:bCs/>
                <w:color w:val="FFFFFF"/>
              </w:rPr>
            </w:pPr>
            <w:r w:rsidRPr="00670FED">
              <w:rPr>
                <w:rFonts w:ascii="Cambria" w:eastAsia="Times New Roman" w:hAnsi="Cambria" w:cs="Times New Roman"/>
                <w:b/>
                <w:bCs/>
                <w:color w:val="FFFFFF"/>
              </w:rPr>
              <w:t>Revenues</w:t>
            </w:r>
          </w:p>
        </w:tc>
      </w:tr>
      <w:tr w:rsidR="00670FED" w:rsidRPr="00670FED" w:rsidTr="0084203C">
        <w:trPr>
          <w:trHeight w:val="450"/>
        </w:trPr>
        <w:tc>
          <w:tcPr>
            <w:tcW w:w="4160" w:type="dxa"/>
            <w:tcBorders>
              <w:top w:val="nil"/>
              <w:left w:val="single" w:sz="8" w:space="0" w:color="auto"/>
              <w:bottom w:val="nil"/>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Ch1: Compensation Of Employees</w:t>
            </w:r>
          </w:p>
        </w:tc>
        <w:tc>
          <w:tcPr>
            <w:tcW w:w="124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331,246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nil"/>
              <w:left w:val="single" w:sz="8" w:space="0" w:color="auto"/>
              <w:bottom w:val="nil"/>
              <w:right w:val="nil"/>
            </w:tcBorders>
            <w:shd w:val="clear" w:color="auto" w:fill="auto"/>
            <w:noWrap/>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Ch1: Tax Revenues</w:t>
            </w:r>
          </w:p>
        </w:tc>
        <w:tc>
          <w:tcPr>
            <w:tcW w:w="960" w:type="dxa"/>
            <w:tcBorders>
              <w:top w:val="nil"/>
              <w:left w:val="nil"/>
              <w:bottom w:val="nil"/>
              <w:right w:val="nil"/>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w:t>
            </w:r>
          </w:p>
        </w:tc>
        <w:tc>
          <w:tcPr>
            <w:tcW w:w="118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10,256 </w:t>
            </w:r>
          </w:p>
        </w:tc>
      </w:tr>
      <w:tr w:rsidR="00670FED" w:rsidRPr="00670FED" w:rsidTr="0084203C">
        <w:trPr>
          <w:trHeight w:val="405"/>
        </w:trPr>
        <w:tc>
          <w:tcPr>
            <w:tcW w:w="4160" w:type="dxa"/>
            <w:tcBorders>
              <w:top w:val="nil"/>
              <w:left w:val="single" w:sz="8" w:space="0" w:color="auto"/>
              <w:bottom w:val="nil"/>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Ch2: Use of goods and services</w:t>
            </w:r>
          </w:p>
        </w:tc>
        <w:tc>
          <w:tcPr>
            <w:tcW w:w="124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29,067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nil"/>
              <w:left w:val="single" w:sz="8" w:space="0" w:color="auto"/>
              <w:bottom w:val="nil"/>
              <w:right w:val="nil"/>
            </w:tcBorders>
            <w:shd w:val="clear" w:color="auto" w:fill="auto"/>
            <w:noWrap/>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Chapter 2: Grants</w:t>
            </w:r>
          </w:p>
        </w:tc>
        <w:tc>
          <w:tcPr>
            <w:tcW w:w="960" w:type="dxa"/>
            <w:tcBorders>
              <w:top w:val="nil"/>
              <w:left w:val="nil"/>
              <w:bottom w:val="nil"/>
              <w:right w:val="nil"/>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p>
        </w:tc>
        <w:tc>
          <w:tcPr>
            <w:tcW w:w="118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50,977 </w:t>
            </w:r>
          </w:p>
        </w:tc>
      </w:tr>
      <w:tr w:rsidR="00670FED" w:rsidRPr="00670FED" w:rsidTr="0084203C">
        <w:trPr>
          <w:trHeight w:val="480"/>
        </w:trPr>
        <w:tc>
          <w:tcPr>
            <w:tcW w:w="4160" w:type="dxa"/>
            <w:tcBorders>
              <w:top w:val="nil"/>
              <w:left w:val="single" w:sz="8" w:space="0" w:color="auto"/>
              <w:bottom w:val="nil"/>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Ch3: Subsidies, Grants And Social Benefits</w:t>
            </w:r>
          </w:p>
        </w:tc>
        <w:tc>
          <w:tcPr>
            <w:tcW w:w="124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434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Central Capital Subsidy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15,000 </w:t>
            </w:r>
          </w:p>
        </w:tc>
        <w:tc>
          <w:tcPr>
            <w:tcW w:w="118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w:t>
            </w:r>
          </w:p>
        </w:tc>
      </w:tr>
      <w:tr w:rsidR="00670FED" w:rsidRPr="00670FED" w:rsidTr="0084203C">
        <w:trPr>
          <w:trHeight w:val="510"/>
        </w:trPr>
        <w:tc>
          <w:tcPr>
            <w:tcW w:w="4160" w:type="dxa"/>
            <w:tcBorders>
              <w:top w:val="nil"/>
              <w:left w:val="single" w:sz="8" w:space="0" w:color="auto"/>
              <w:bottom w:val="nil"/>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124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nil"/>
              <w:left w:val="single" w:sz="8" w:space="0" w:color="auto"/>
              <w:bottom w:val="single" w:sz="4" w:space="0" w:color="auto"/>
              <w:right w:val="single" w:sz="4" w:space="0" w:color="auto"/>
            </w:tcBorders>
            <w:shd w:val="clear" w:color="auto" w:fill="auto"/>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Share Of Joint public Revenues </w:t>
            </w:r>
          </w:p>
        </w:tc>
        <w:tc>
          <w:tcPr>
            <w:tcW w:w="960" w:type="dxa"/>
            <w:tcBorders>
              <w:top w:val="nil"/>
              <w:left w:val="nil"/>
              <w:bottom w:val="single" w:sz="4" w:space="0" w:color="auto"/>
              <w:right w:val="single" w:sz="4"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17,968 </w:t>
            </w:r>
          </w:p>
        </w:tc>
        <w:tc>
          <w:tcPr>
            <w:tcW w:w="118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w:t>
            </w:r>
          </w:p>
        </w:tc>
      </w:tr>
      <w:tr w:rsidR="00670FED" w:rsidRPr="00670FED" w:rsidTr="0084203C">
        <w:trPr>
          <w:trHeight w:val="570"/>
        </w:trPr>
        <w:tc>
          <w:tcPr>
            <w:tcW w:w="4160" w:type="dxa"/>
            <w:tcBorders>
              <w:top w:val="nil"/>
              <w:left w:val="single" w:sz="8" w:space="0" w:color="auto"/>
              <w:bottom w:val="nil"/>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t>Sub-Total of Operational Expenditures</w:t>
            </w:r>
          </w:p>
        </w:tc>
        <w:tc>
          <w:tcPr>
            <w:tcW w:w="124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360,746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nil"/>
              <w:left w:val="single" w:sz="8" w:space="0" w:color="auto"/>
              <w:bottom w:val="single" w:sz="4" w:space="0" w:color="auto"/>
              <w:right w:val="single" w:sz="4" w:space="0" w:color="auto"/>
            </w:tcBorders>
            <w:shd w:val="clear" w:color="auto" w:fill="auto"/>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Joint Revenues</w:t>
            </w:r>
          </w:p>
        </w:tc>
        <w:tc>
          <w:tcPr>
            <w:tcW w:w="960" w:type="dxa"/>
            <w:tcBorders>
              <w:top w:val="nil"/>
              <w:left w:val="nil"/>
              <w:bottom w:val="single" w:sz="4" w:space="0" w:color="auto"/>
              <w:right w:val="single" w:sz="4"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18,009 </w:t>
            </w:r>
          </w:p>
        </w:tc>
        <w:tc>
          <w:tcPr>
            <w:tcW w:w="118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w:t>
            </w:r>
          </w:p>
        </w:tc>
      </w:tr>
      <w:tr w:rsidR="00670FED" w:rsidRPr="00670FED" w:rsidTr="0084203C">
        <w:trPr>
          <w:trHeight w:val="570"/>
        </w:trPr>
        <w:tc>
          <w:tcPr>
            <w:tcW w:w="4160" w:type="dxa"/>
            <w:tcBorders>
              <w:top w:val="nil"/>
              <w:left w:val="single" w:sz="8" w:space="0" w:color="auto"/>
              <w:bottom w:val="nil"/>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Operational Surplus</w:t>
            </w:r>
            <w:r w:rsidRPr="00670FED">
              <w:rPr>
                <w:rFonts w:ascii="Cambria" w:eastAsia="Times New Roman" w:hAnsi="Cambria" w:cs="Times New Roman"/>
                <w:b/>
                <w:bCs/>
                <w:color w:val="000000"/>
              </w:rPr>
              <w:t xml:space="preserve"> (A)</w:t>
            </w:r>
          </w:p>
        </w:tc>
        <w:tc>
          <w:tcPr>
            <w:tcW w:w="124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61,233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4" w:space="0" w:color="auto"/>
              <w:left w:val="single" w:sz="8" w:space="0" w:color="auto"/>
              <w:bottom w:val="nil"/>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Ch3:  Income From Properties, Sales Of Goods And Services</w:t>
            </w:r>
          </w:p>
        </w:tc>
        <w:tc>
          <w:tcPr>
            <w:tcW w:w="118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   </w:t>
            </w:r>
          </w:p>
        </w:tc>
      </w:tr>
      <w:tr w:rsidR="00670FED" w:rsidRPr="00670FED" w:rsidTr="0084203C">
        <w:trPr>
          <w:trHeight w:val="450"/>
        </w:trPr>
        <w:tc>
          <w:tcPr>
            <w:tcW w:w="4160" w:type="dxa"/>
            <w:tcBorders>
              <w:top w:val="nil"/>
              <w:left w:val="single" w:sz="8" w:space="0" w:color="auto"/>
              <w:bottom w:val="nil"/>
              <w:right w:val="nil"/>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1240" w:type="dxa"/>
            <w:tcBorders>
              <w:top w:val="nil"/>
              <w:left w:val="nil"/>
              <w:bottom w:val="nil"/>
              <w:right w:val="single" w:sz="8" w:space="0" w:color="auto"/>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4" w:space="0" w:color="auto"/>
              <w:left w:val="single" w:sz="8" w:space="0" w:color="auto"/>
              <w:bottom w:val="single" w:sz="4" w:space="0" w:color="auto"/>
              <w:right w:val="nil"/>
            </w:tcBorders>
            <w:shd w:val="clear" w:color="000000" w:fill="C2D69A"/>
            <w:vAlign w:val="center"/>
            <w:hideMark/>
          </w:tcPr>
          <w:p w:rsidR="00670FED" w:rsidRPr="00670FED" w:rsidRDefault="00670FED" w:rsidP="00670FED">
            <w:pPr>
              <w:spacing w:after="0" w:line="240" w:lineRule="auto"/>
              <w:rPr>
                <w:rFonts w:ascii="Cambria" w:eastAsia="Times New Roman" w:hAnsi="Cambria" w:cs="Times New Roman"/>
                <w:u w:val="single"/>
              </w:rPr>
            </w:pPr>
            <w:r w:rsidRPr="00670FED">
              <w:rPr>
                <w:rFonts w:ascii="Cambria" w:eastAsia="Times New Roman" w:hAnsi="Cambria" w:cs="Times New Roman"/>
                <w:u w:val="single"/>
              </w:rPr>
              <w:t>Operational Surplus: Ch1+Ch2+Ch3</w:t>
            </w:r>
            <w:r w:rsidRPr="00670FED">
              <w:rPr>
                <w:rFonts w:ascii="Cambria" w:eastAsia="Times New Roman" w:hAnsi="Cambria" w:cs="Times New Roman"/>
                <w:b/>
                <w:bCs/>
                <w:u w:val="single"/>
              </w:rPr>
              <w:t xml:space="preserve"> (A)</w:t>
            </w:r>
          </w:p>
        </w:tc>
        <w:tc>
          <w:tcPr>
            <w:tcW w:w="1180" w:type="dxa"/>
            <w:tcBorders>
              <w:top w:val="single" w:sz="4" w:space="0" w:color="auto"/>
              <w:left w:val="nil"/>
              <w:bottom w:val="single" w:sz="4" w:space="0" w:color="auto"/>
              <w:right w:val="single" w:sz="8" w:space="0" w:color="auto"/>
            </w:tcBorders>
            <w:shd w:val="clear" w:color="000000" w:fill="C2D69A"/>
            <w:noWrap/>
            <w:vAlign w:val="center"/>
            <w:hideMark/>
          </w:tcPr>
          <w:p w:rsidR="00670FED" w:rsidRPr="00670FED" w:rsidRDefault="00670FED" w:rsidP="00670FED">
            <w:pPr>
              <w:spacing w:after="0" w:line="240" w:lineRule="auto"/>
              <w:jc w:val="center"/>
              <w:rPr>
                <w:rFonts w:ascii="Cambria" w:eastAsia="Times New Roman" w:hAnsi="Cambria" w:cs="Times New Roman"/>
                <w:u w:val="single"/>
              </w:rPr>
            </w:pPr>
            <w:r w:rsidRPr="00670FED">
              <w:rPr>
                <w:rFonts w:ascii="Cambria" w:eastAsia="Times New Roman" w:hAnsi="Cambria" w:cs="Times New Roman"/>
                <w:u w:val="single"/>
              </w:rPr>
              <w:t xml:space="preserve">         61,233 </w:t>
            </w:r>
          </w:p>
        </w:tc>
      </w:tr>
      <w:tr w:rsidR="00670FED" w:rsidRPr="00670FED" w:rsidTr="0084203C">
        <w:trPr>
          <w:trHeight w:val="585"/>
        </w:trPr>
        <w:tc>
          <w:tcPr>
            <w:tcW w:w="4160" w:type="dxa"/>
            <w:tcBorders>
              <w:top w:val="nil"/>
              <w:left w:val="single" w:sz="8" w:space="0" w:color="auto"/>
              <w:bottom w:val="nil"/>
              <w:right w:val="nil"/>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1240" w:type="dxa"/>
            <w:tcBorders>
              <w:top w:val="nil"/>
              <w:left w:val="nil"/>
              <w:bottom w:val="nil"/>
              <w:right w:val="single" w:sz="8" w:space="0" w:color="auto"/>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nil"/>
              <w:left w:val="single" w:sz="8" w:space="0" w:color="auto"/>
              <w:bottom w:val="single" w:sz="8" w:space="0" w:color="auto"/>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Ch2: Grants (Central Current Subsidy)</w:t>
            </w:r>
          </w:p>
        </w:tc>
        <w:tc>
          <w:tcPr>
            <w:tcW w:w="118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360,746 </w:t>
            </w:r>
          </w:p>
        </w:tc>
      </w:tr>
      <w:tr w:rsidR="00670FED" w:rsidRPr="00670FED" w:rsidTr="0084203C">
        <w:trPr>
          <w:trHeight w:val="420"/>
        </w:trPr>
        <w:tc>
          <w:tcPr>
            <w:tcW w:w="4160" w:type="dxa"/>
            <w:tcBorders>
              <w:top w:val="single" w:sz="8" w:space="0" w:color="auto"/>
              <w:left w:val="single" w:sz="8" w:space="0" w:color="auto"/>
              <w:bottom w:val="single" w:sz="8" w:space="0" w:color="auto"/>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t>Total Operational Expenditures</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421,979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8" w:space="0" w:color="auto"/>
              <w:left w:val="single" w:sz="8" w:space="0" w:color="auto"/>
              <w:bottom w:val="single" w:sz="8" w:space="0" w:color="auto"/>
              <w:right w:val="nil"/>
            </w:tcBorders>
            <w:shd w:val="clear" w:color="auto" w:fill="auto"/>
            <w:vAlign w:val="center"/>
            <w:hideMark/>
          </w:tcPr>
          <w:p w:rsidR="00670FED" w:rsidRPr="00670FED" w:rsidRDefault="00670FED" w:rsidP="00670FED">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Total Operational Revenues</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421,979 </w:t>
            </w:r>
          </w:p>
        </w:tc>
      </w:tr>
      <w:tr w:rsidR="00670FED" w:rsidRPr="00670FED" w:rsidTr="0084203C">
        <w:trPr>
          <w:trHeight w:val="300"/>
        </w:trPr>
        <w:tc>
          <w:tcPr>
            <w:tcW w:w="11345"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Transactions in Non-Financial Assets</w:t>
            </w:r>
          </w:p>
        </w:tc>
      </w:tr>
      <w:tr w:rsidR="00670FED" w:rsidRPr="00670FED" w:rsidTr="0084203C">
        <w:trPr>
          <w:trHeight w:val="285"/>
        </w:trPr>
        <w:tc>
          <w:tcPr>
            <w:tcW w:w="4160" w:type="dxa"/>
            <w:tcBorders>
              <w:top w:val="nil"/>
              <w:left w:val="single" w:sz="8" w:space="0" w:color="auto"/>
              <w:bottom w:val="nil"/>
              <w:right w:val="nil"/>
            </w:tcBorders>
            <w:shd w:val="clear" w:color="auto" w:fill="auto"/>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Ch4 :Acquisition Of Non-Financial Assets</w:t>
            </w:r>
          </w:p>
        </w:tc>
        <w:tc>
          <w:tcPr>
            <w:tcW w:w="124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xml:space="preserve">          70,037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8" w:space="0" w:color="auto"/>
              <w:left w:val="single" w:sz="8" w:space="0" w:color="auto"/>
              <w:bottom w:val="nil"/>
              <w:right w:val="nil"/>
            </w:tcBorders>
            <w:shd w:val="clear" w:color="auto" w:fill="auto"/>
            <w:noWrap/>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Operational Surplus</w:t>
            </w:r>
            <w:r w:rsidRPr="00670FED">
              <w:rPr>
                <w:rFonts w:ascii="Cambria" w:eastAsia="Times New Roman" w:hAnsi="Cambria" w:cs="Times New Roman"/>
                <w:b/>
                <w:bCs/>
                <w:color w:val="000000"/>
              </w:rPr>
              <w:t xml:space="preserve"> (A)</w:t>
            </w:r>
          </w:p>
        </w:tc>
        <w:tc>
          <w:tcPr>
            <w:tcW w:w="118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61,233 </w:t>
            </w:r>
          </w:p>
        </w:tc>
      </w:tr>
      <w:tr w:rsidR="00670FED" w:rsidRPr="00670FED" w:rsidTr="0084203C">
        <w:trPr>
          <w:trHeight w:val="360"/>
        </w:trPr>
        <w:tc>
          <w:tcPr>
            <w:tcW w:w="4160" w:type="dxa"/>
            <w:tcBorders>
              <w:top w:val="nil"/>
              <w:left w:val="single" w:sz="8" w:space="0" w:color="auto"/>
              <w:bottom w:val="nil"/>
              <w:right w:val="nil"/>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80"/>
              </w:rPr>
            </w:pPr>
            <w:r w:rsidRPr="00670FED">
              <w:rPr>
                <w:rFonts w:ascii="Cambria" w:eastAsia="Times New Roman" w:hAnsi="Cambria" w:cs="Times New Roman"/>
                <w:b/>
                <w:bCs/>
                <w:color w:val="000080"/>
              </w:rPr>
              <w:t> </w:t>
            </w:r>
          </w:p>
        </w:tc>
        <w:tc>
          <w:tcPr>
            <w:tcW w:w="1240" w:type="dxa"/>
            <w:tcBorders>
              <w:top w:val="nil"/>
              <w:left w:val="nil"/>
              <w:bottom w:val="nil"/>
              <w:right w:val="single" w:sz="8" w:space="0" w:color="auto"/>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nil"/>
              <w:left w:val="single" w:sz="8" w:space="0" w:color="auto"/>
              <w:bottom w:val="nil"/>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Ch4 :Acquisition Of Non-Financial Assets</w:t>
            </w:r>
          </w:p>
        </w:tc>
        <w:tc>
          <w:tcPr>
            <w:tcW w:w="118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75 </w:t>
            </w:r>
          </w:p>
        </w:tc>
      </w:tr>
      <w:tr w:rsidR="00670FED" w:rsidRPr="00670FED" w:rsidTr="0084203C">
        <w:trPr>
          <w:trHeight w:val="285"/>
        </w:trPr>
        <w:tc>
          <w:tcPr>
            <w:tcW w:w="4160" w:type="dxa"/>
            <w:tcBorders>
              <w:top w:val="nil"/>
              <w:left w:val="single" w:sz="8" w:space="0" w:color="auto"/>
              <w:bottom w:val="nil"/>
              <w:right w:val="nil"/>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1240" w:type="dxa"/>
            <w:tcBorders>
              <w:top w:val="nil"/>
              <w:left w:val="nil"/>
              <w:bottom w:val="nil"/>
              <w:right w:val="single" w:sz="8" w:space="0" w:color="auto"/>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nil"/>
              <w:left w:val="single" w:sz="8" w:space="0" w:color="auto"/>
              <w:bottom w:val="nil"/>
              <w:right w:val="nil"/>
            </w:tcBorders>
            <w:shd w:val="clear" w:color="auto" w:fill="auto"/>
            <w:noWrap/>
            <w:vAlign w:val="center"/>
            <w:hideMark/>
          </w:tcPr>
          <w:p w:rsidR="00670FED" w:rsidRPr="00670FED" w:rsidRDefault="00670FED" w:rsidP="00670FED">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t xml:space="preserve">   Sub-Total</w:t>
            </w:r>
          </w:p>
        </w:tc>
        <w:tc>
          <w:tcPr>
            <w:tcW w:w="118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61,308 </w:t>
            </w:r>
          </w:p>
        </w:tc>
      </w:tr>
      <w:tr w:rsidR="00670FED" w:rsidRPr="00670FED" w:rsidTr="0084203C">
        <w:trPr>
          <w:trHeight w:val="300"/>
        </w:trPr>
        <w:tc>
          <w:tcPr>
            <w:tcW w:w="4160" w:type="dxa"/>
            <w:tcBorders>
              <w:top w:val="nil"/>
              <w:left w:val="single" w:sz="8" w:space="0" w:color="auto"/>
              <w:bottom w:val="nil"/>
              <w:right w:val="nil"/>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80"/>
              </w:rPr>
            </w:pPr>
            <w:r w:rsidRPr="00670FED">
              <w:rPr>
                <w:rFonts w:ascii="Cambria" w:eastAsia="Times New Roman" w:hAnsi="Cambria" w:cs="Times New Roman"/>
                <w:b/>
                <w:bCs/>
                <w:color w:val="000080"/>
              </w:rPr>
              <w:t> </w:t>
            </w:r>
          </w:p>
        </w:tc>
        <w:tc>
          <w:tcPr>
            <w:tcW w:w="1240" w:type="dxa"/>
            <w:tcBorders>
              <w:top w:val="nil"/>
              <w:left w:val="nil"/>
              <w:bottom w:val="nil"/>
              <w:right w:val="single" w:sz="8" w:space="0" w:color="auto"/>
            </w:tcBorders>
            <w:shd w:val="clear" w:color="auto" w:fill="auto"/>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single" w:sz="4" w:space="0" w:color="auto"/>
              <w:left w:val="single" w:sz="8" w:space="0" w:color="auto"/>
              <w:bottom w:val="nil"/>
              <w:right w:val="nil"/>
            </w:tcBorders>
            <w:shd w:val="clear" w:color="000000" w:fill="C2D69A"/>
            <w:noWrap/>
            <w:vAlign w:val="center"/>
            <w:hideMark/>
          </w:tcPr>
          <w:p w:rsidR="00670FED" w:rsidRPr="00670FED" w:rsidRDefault="00670FED" w:rsidP="00670FED">
            <w:pPr>
              <w:spacing w:after="0" w:line="240" w:lineRule="auto"/>
              <w:rPr>
                <w:rFonts w:ascii="Cambria" w:eastAsia="Times New Roman" w:hAnsi="Cambria" w:cs="Times New Roman"/>
                <w:color w:val="000000"/>
                <w:u w:val="single"/>
              </w:rPr>
            </w:pPr>
            <w:r w:rsidRPr="00670FED">
              <w:rPr>
                <w:rFonts w:ascii="Cambria" w:eastAsia="Times New Roman" w:hAnsi="Cambria" w:cs="Times New Roman"/>
                <w:color w:val="000000"/>
                <w:u w:val="single"/>
              </w:rPr>
              <w:t>Add: the Deficit in Ch4</w:t>
            </w:r>
          </w:p>
        </w:tc>
        <w:tc>
          <w:tcPr>
            <w:tcW w:w="960" w:type="dxa"/>
            <w:tcBorders>
              <w:top w:val="single" w:sz="4" w:space="0" w:color="auto"/>
              <w:left w:val="nil"/>
              <w:bottom w:val="nil"/>
              <w:right w:val="nil"/>
            </w:tcBorders>
            <w:shd w:val="clear" w:color="000000" w:fill="C2D69A"/>
            <w:noWrap/>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1180" w:type="dxa"/>
            <w:tcBorders>
              <w:top w:val="single" w:sz="4" w:space="0" w:color="auto"/>
              <w:left w:val="nil"/>
              <w:bottom w:val="nil"/>
              <w:right w:val="single" w:sz="8" w:space="0" w:color="auto"/>
            </w:tcBorders>
            <w:shd w:val="clear" w:color="000000" w:fill="C2D69A"/>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8,728 </w:t>
            </w:r>
          </w:p>
        </w:tc>
      </w:tr>
      <w:tr w:rsidR="00670FED" w:rsidRPr="00670FED" w:rsidTr="0084203C">
        <w:trPr>
          <w:trHeight w:val="300"/>
        </w:trPr>
        <w:tc>
          <w:tcPr>
            <w:tcW w:w="4160" w:type="dxa"/>
            <w:tcBorders>
              <w:top w:val="single" w:sz="8" w:space="0" w:color="auto"/>
              <w:left w:val="single" w:sz="8" w:space="0" w:color="auto"/>
              <w:bottom w:val="single" w:sz="8" w:space="0" w:color="auto"/>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t>Total Transactions Expenditures</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70,037 </w:t>
            </w:r>
          </w:p>
        </w:tc>
        <w:tc>
          <w:tcPr>
            <w:tcW w:w="265" w:type="dxa"/>
            <w:tcBorders>
              <w:top w:val="nil"/>
              <w:left w:val="nil"/>
              <w:bottom w:val="single" w:sz="8" w:space="0" w:color="auto"/>
              <w:right w:val="nil"/>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8" w:space="0" w:color="auto"/>
              <w:left w:val="single" w:sz="8" w:space="0" w:color="auto"/>
              <w:bottom w:val="single" w:sz="8" w:space="0" w:color="auto"/>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t>Total</w:t>
            </w:r>
            <w:r>
              <w:rPr>
                <w:rFonts w:ascii="Cambria" w:eastAsia="Times New Roman" w:hAnsi="Cambria" w:cs="Times New Roman"/>
                <w:b/>
                <w:bCs/>
                <w:color w:val="000000"/>
              </w:rPr>
              <w:t xml:space="preserve"> </w:t>
            </w:r>
            <w:r w:rsidRPr="00670FED">
              <w:rPr>
                <w:rFonts w:ascii="Cambria" w:eastAsia="Times New Roman" w:hAnsi="Cambria" w:cs="Times New Roman"/>
                <w:b/>
                <w:bCs/>
                <w:color w:val="000000"/>
              </w:rPr>
              <w:t>Transactions Revenues</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70,037 </w:t>
            </w:r>
          </w:p>
        </w:tc>
      </w:tr>
      <w:tr w:rsidR="00670FED" w:rsidRPr="00670FED" w:rsidTr="0084203C">
        <w:trPr>
          <w:trHeight w:val="330"/>
        </w:trPr>
        <w:tc>
          <w:tcPr>
            <w:tcW w:w="11345"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70FED" w:rsidRPr="00670FED" w:rsidRDefault="00670FED" w:rsidP="00670FED">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Transactions in Financial Commitment (Financing)</w:t>
            </w:r>
          </w:p>
        </w:tc>
      </w:tr>
      <w:tr w:rsidR="00670FED" w:rsidRPr="00670FED" w:rsidTr="0084203C">
        <w:trPr>
          <w:trHeight w:val="480"/>
        </w:trPr>
        <w:tc>
          <w:tcPr>
            <w:tcW w:w="4160" w:type="dxa"/>
            <w:tcBorders>
              <w:top w:val="nil"/>
              <w:left w:val="single" w:sz="8" w:space="0" w:color="auto"/>
              <w:bottom w:val="nil"/>
              <w:right w:val="nil"/>
            </w:tcBorders>
            <w:shd w:val="clear" w:color="auto" w:fill="auto"/>
            <w:noWrap/>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Cash Deficit</w:t>
            </w:r>
          </w:p>
        </w:tc>
        <w:tc>
          <w:tcPr>
            <w:tcW w:w="124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xml:space="preserve">             8,728 </w:t>
            </w:r>
          </w:p>
        </w:tc>
        <w:tc>
          <w:tcPr>
            <w:tcW w:w="265" w:type="dxa"/>
            <w:tcBorders>
              <w:top w:val="nil"/>
              <w:left w:val="nil"/>
              <w:bottom w:val="nil"/>
              <w:right w:val="single" w:sz="8" w:space="0" w:color="auto"/>
            </w:tcBorders>
            <w:shd w:val="clear" w:color="000000" w:fill="000000"/>
            <w:noWrap/>
            <w:vAlign w:val="bottom"/>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8" w:space="0" w:color="auto"/>
              <w:left w:val="nil"/>
              <w:bottom w:val="nil"/>
              <w:right w:val="nil"/>
            </w:tcBorders>
            <w:shd w:val="clear" w:color="auto" w:fill="auto"/>
            <w:vAlign w:val="center"/>
            <w:hideMark/>
          </w:tcPr>
          <w:p w:rsidR="00670FED" w:rsidRPr="00670FED" w:rsidRDefault="00670FED" w:rsidP="00670FED">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Changes in Cash and Local Deposits (+)</w:t>
            </w:r>
          </w:p>
        </w:tc>
        <w:tc>
          <w:tcPr>
            <w:tcW w:w="1180" w:type="dxa"/>
            <w:tcBorders>
              <w:top w:val="nil"/>
              <w:left w:val="nil"/>
              <w:bottom w:val="nil"/>
              <w:right w:val="single" w:sz="8" w:space="0" w:color="auto"/>
            </w:tcBorders>
            <w:shd w:val="clear" w:color="auto" w:fill="auto"/>
            <w:noWrap/>
            <w:vAlign w:val="center"/>
            <w:hideMark/>
          </w:tcPr>
          <w:p w:rsidR="00670FED" w:rsidRPr="00670FED" w:rsidRDefault="00670FED" w:rsidP="00670FED">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8,728 </w:t>
            </w:r>
          </w:p>
        </w:tc>
      </w:tr>
      <w:tr w:rsidR="00670FED" w:rsidRPr="00670FED" w:rsidTr="0084203C">
        <w:trPr>
          <w:trHeight w:val="505"/>
        </w:trPr>
        <w:tc>
          <w:tcPr>
            <w:tcW w:w="4160" w:type="dxa"/>
            <w:tcBorders>
              <w:top w:val="single" w:sz="8" w:space="0" w:color="auto"/>
              <w:left w:val="single" w:sz="8" w:space="0" w:color="auto"/>
              <w:bottom w:val="single" w:sz="8" w:space="0" w:color="auto"/>
              <w:right w:val="nil"/>
            </w:tcBorders>
            <w:shd w:val="clear" w:color="000000" w:fill="000000"/>
            <w:noWrap/>
            <w:vAlign w:val="center"/>
            <w:hideMark/>
          </w:tcPr>
          <w:p w:rsidR="00670FED" w:rsidRPr="00670FED" w:rsidRDefault="00670FED" w:rsidP="00670FED">
            <w:pPr>
              <w:spacing w:after="0" w:line="240" w:lineRule="auto"/>
              <w:rPr>
                <w:rFonts w:ascii="Cambria" w:eastAsia="Times New Roman" w:hAnsi="Cambria" w:cs="Times New Roman"/>
                <w:b/>
                <w:bCs/>
                <w:color w:val="FFFFFF"/>
                <w:sz w:val="24"/>
                <w:szCs w:val="24"/>
              </w:rPr>
            </w:pPr>
            <w:r w:rsidRPr="00670FED">
              <w:rPr>
                <w:rFonts w:ascii="Cambria" w:eastAsia="Times New Roman" w:hAnsi="Cambria" w:cs="Times New Roman"/>
                <w:b/>
                <w:bCs/>
                <w:color w:val="FFFFFF"/>
                <w:sz w:val="24"/>
                <w:szCs w:val="24"/>
              </w:rPr>
              <w:t>Total Expenditures</w:t>
            </w:r>
          </w:p>
        </w:tc>
        <w:tc>
          <w:tcPr>
            <w:tcW w:w="1240" w:type="dxa"/>
            <w:tcBorders>
              <w:top w:val="single" w:sz="8" w:space="0" w:color="auto"/>
              <w:left w:val="nil"/>
              <w:bottom w:val="single" w:sz="8" w:space="0" w:color="auto"/>
              <w:right w:val="single" w:sz="8" w:space="0" w:color="auto"/>
            </w:tcBorders>
            <w:shd w:val="clear" w:color="000000" w:fill="000000"/>
            <w:noWrap/>
            <w:vAlign w:val="center"/>
            <w:hideMark/>
          </w:tcPr>
          <w:p w:rsidR="00670FED" w:rsidRPr="00670FED" w:rsidRDefault="00670FED" w:rsidP="00670FED">
            <w:pPr>
              <w:spacing w:after="0" w:line="240" w:lineRule="auto"/>
              <w:rPr>
                <w:rFonts w:ascii="Cambria" w:eastAsia="Times New Roman" w:hAnsi="Cambria" w:cs="Times New Roman"/>
                <w:b/>
                <w:bCs/>
                <w:color w:val="FFFFFF"/>
                <w:sz w:val="24"/>
                <w:szCs w:val="24"/>
              </w:rPr>
            </w:pPr>
            <w:r w:rsidRPr="00670FED">
              <w:rPr>
                <w:rFonts w:ascii="Cambria" w:eastAsia="Times New Roman" w:hAnsi="Cambria" w:cs="Times New Roman"/>
                <w:b/>
                <w:bCs/>
                <w:color w:val="FFFFFF"/>
                <w:sz w:val="24"/>
                <w:szCs w:val="24"/>
              </w:rPr>
              <w:t xml:space="preserve">   430,783 </w:t>
            </w:r>
          </w:p>
        </w:tc>
        <w:tc>
          <w:tcPr>
            <w:tcW w:w="265" w:type="dxa"/>
            <w:tcBorders>
              <w:top w:val="single" w:sz="8" w:space="0" w:color="auto"/>
              <w:left w:val="nil"/>
              <w:bottom w:val="single" w:sz="8" w:space="0" w:color="auto"/>
              <w:right w:val="single" w:sz="8" w:space="0" w:color="auto"/>
            </w:tcBorders>
            <w:shd w:val="clear" w:color="000000" w:fill="FFFFFF"/>
            <w:noWrap/>
            <w:vAlign w:val="center"/>
            <w:hideMark/>
          </w:tcPr>
          <w:p w:rsidR="00670FED" w:rsidRPr="00670FED" w:rsidRDefault="00670FED" w:rsidP="00670FED">
            <w:pPr>
              <w:spacing w:after="0" w:line="240" w:lineRule="auto"/>
              <w:rPr>
                <w:rFonts w:ascii="Cambria" w:eastAsia="Times New Roman" w:hAnsi="Cambria" w:cs="Times New Roman"/>
                <w:color w:val="FFFFFF"/>
              </w:rPr>
            </w:pPr>
            <w:r w:rsidRPr="00670FED">
              <w:rPr>
                <w:rFonts w:ascii="Cambria" w:eastAsia="Times New Roman" w:hAnsi="Cambria" w:cs="Times New Roman"/>
                <w:color w:val="FFFFFF"/>
              </w:rPr>
              <w:t> </w:t>
            </w:r>
          </w:p>
        </w:tc>
        <w:tc>
          <w:tcPr>
            <w:tcW w:w="3540" w:type="dxa"/>
            <w:tcBorders>
              <w:top w:val="single" w:sz="8" w:space="0" w:color="auto"/>
              <w:left w:val="nil"/>
              <w:bottom w:val="single" w:sz="8" w:space="0" w:color="auto"/>
              <w:right w:val="nil"/>
            </w:tcBorders>
            <w:shd w:val="clear" w:color="000000" w:fill="000000"/>
            <w:noWrap/>
            <w:vAlign w:val="center"/>
            <w:hideMark/>
          </w:tcPr>
          <w:p w:rsidR="00670FED" w:rsidRPr="00670FED" w:rsidRDefault="00670FED" w:rsidP="00670FED">
            <w:pPr>
              <w:spacing w:after="0" w:line="240" w:lineRule="auto"/>
              <w:rPr>
                <w:rFonts w:ascii="Cambria" w:eastAsia="Times New Roman" w:hAnsi="Cambria" w:cs="Times New Roman"/>
                <w:b/>
                <w:bCs/>
                <w:color w:val="FFFFFF"/>
              </w:rPr>
            </w:pPr>
            <w:r w:rsidRPr="00670FED">
              <w:rPr>
                <w:rFonts w:ascii="Cambria" w:eastAsia="Times New Roman" w:hAnsi="Cambria" w:cs="Times New Roman"/>
                <w:b/>
                <w:bCs/>
                <w:color w:val="FFFFFF"/>
              </w:rPr>
              <w:t>Total Revenues and Grants</w:t>
            </w:r>
          </w:p>
        </w:tc>
        <w:tc>
          <w:tcPr>
            <w:tcW w:w="960" w:type="dxa"/>
            <w:tcBorders>
              <w:top w:val="single" w:sz="8" w:space="0" w:color="auto"/>
              <w:left w:val="nil"/>
              <w:bottom w:val="single" w:sz="8" w:space="0" w:color="auto"/>
              <w:right w:val="nil"/>
            </w:tcBorders>
            <w:shd w:val="clear" w:color="000000" w:fill="000000"/>
            <w:noWrap/>
            <w:vAlign w:val="center"/>
            <w:hideMark/>
          </w:tcPr>
          <w:p w:rsidR="00670FED" w:rsidRPr="00670FED" w:rsidRDefault="00670FED" w:rsidP="00670FED">
            <w:pPr>
              <w:spacing w:after="0" w:line="240" w:lineRule="auto"/>
              <w:rPr>
                <w:rFonts w:ascii="Cambria" w:eastAsia="Times New Roman" w:hAnsi="Cambria" w:cs="Times New Roman"/>
                <w:color w:val="FFFFFF"/>
              </w:rPr>
            </w:pPr>
            <w:r w:rsidRPr="00670FED">
              <w:rPr>
                <w:rFonts w:ascii="Cambria" w:eastAsia="Times New Roman" w:hAnsi="Cambria" w:cs="Times New Roman"/>
                <w:color w:val="FFFFFF"/>
              </w:rPr>
              <w:t> </w:t>
            </w:r>
          </w:p>
        </w:tc>
        <w:tc>
          <w:tcPr>
            <w:tcW w:w="1180" w:type="dxa"/>
            <w:tcBorders>
              <w:top w:val="single" w:sz="8" w:space="0" w:color="auto"/>
              <w:left w:val="nil"/>
              <w:bottom w:val="single" w:sz="8" w:space="0" w:color="auto"/>
              <w:right w:val="single" w:sz="8" w:space="0" w:color="auto"/>
            </w:tcBorders>
            <w:shd w:val="clear" w:color="000000" w:fill="000000"/>
            <w:noWrap/>
            <w:vAlign w:val="center"/>
            <w:hideMark/>
          </w:tcPr>
          <w:p w:rsidR="00670FED" w:rsidRPr="00670FED" w:rsidRDefault="00670FED" w:rsidP="00670FED">
            <w:pPr>
              <w:spacing w:after="0" w:line="240" w:lineRule="auto"/>
              <w:rPr>
                <w:rFonts w:ascii="Cambria" w:eastAsia="Times New Roman" w:hAnsi="Cambria" w:cs="Times New Roman"/>
                <w:b/>
                <w:bCs/>
                <w:color w:val="FFFFFF"/>
                <w:sz w:val="24"/>
                <w:szCs w:val="24"/>
              </w:rPr>
            </w:pPr>
            <w:r w:rsidRPr="00670FED">
              <w:rPr>
                <w:rFonts w:ascii="Cambria" w:eastAsia="Times New Roman" w:hAnsi="Cambria" w:cs="Times New Roman"/>
                <w:b/>
                <w:bCs/>
                <w:color w:val="FFFFFF"/>
                <w:sz w:val="24"/>
                <w:szCs w:val="24"/>
              </w:rPr>
              <w:t xml:space="preserve">  430,783 </w:t>
            </w:r>
          </w:p>
        </w:tc>
      </w:tr>
    </w:tbl>
    <w:p w:rsidR="00670FED" w:rsidRPr="00670FED" w:rsidRDefault="00670FED" w:rsidP="00670FED">
      <w:pPr>
        <w:spacing w:line="480" w:lineRule="auto"/>
        <w:ind w:left="1931"/>
        <w:rPr>
          <w:rFonts w:asciiTheme="majorHAnsi" w:hAnsiTheme="majorHAnsi" w:cstheme="majorBidi"/>
          <w:sz w:val="24"/>
          <w:szCs w:val="24"/>
        </w:rPr>
      </w:pPr>
    </w:p>
    <w:p w:rsidR="00FE11E1" w:rsidRPr="0072532F" w:rsidRDefault="00FE11E1" w:rsidP="000A736E">
      <w:pPr>
        <w:pStyle w:val="ListParagraph"/>
        <w:numPr>
          <w:ilvl w:val="1"/>
          <w:numId w:val="6"/>
        </w:numPr>
        <w:spacing w:line="480" w:lineRule="auto"/>
        <w:rPr>
          <w:rFonts w:asciiTheme="majorHAnsi" w:hAnsiTheme="majorHAnsi" w:cstheme="majorBidi"/>
          <w:sz w:val="24"/>
          <w:szCs w:val="24"/>
        </w:rPr>
      </w:pPr>
      <w:r w:rsidRPr="0072532F">
        <w:rPr>
          <w:rFonts w:asciiTheme="majorHAnsi" w:hAnsiTheme="majorHAnsi" w:cstheme="majorBidi"/>
          <w:sz w:val="24"/>
          <w:szCs w:val="24"/>
          <w:u w:val="single"/>
        </w:rPr>
        <w:t>Central Capital Subsidy</w:t>
      </w:r>
      <w:r w:rsidRPr="0072532F">
        <w:rPr>
          <w:rFonts w:asciiTheme="majorHAnsi" w:hAnsiTheme="majorHAnsi" w:cstheme="majorBidi"/>
          <w:sz w:val="24"/>
          <w:szCs w:val="24"/>
        </w:rPr>
        <w:t>:</w:t>
      </w:r>
      <w:r w:rsidR="004C0067">
        <w:rPr>
          <w:rFonts w:asciiTheme="majorHAnsi" w:hAnsiTheme="majorHAnsi" w:cstheme="majorBidi"/>
          <w:sz w:val="24"/>
          <w:szCs w:val="24"/>
        </w:rPr>
        <w:t xml:space="preserve"> is</w:t>
      </w:r>
      <w:r w:rsidRPr="0072532F">
        <w:rPr>
          <w:rFonts w:asciiTheme="majorHAnsi" w:hAnsiTheme="majorHAnsi" w:cstheme="majorBidi"/>
          <w:sz w:val="24"/>
          <w:szCs w:val="24"/>
        </w:rPr>
        <w:t xml:space="preserve"> given to support investment pr</w:t>
      </w:r>
      <w:r w:rsidR="004C0067">
        <w:rPr>
          <w:rFonts w:asciiTheme="majorHAnsi" w:hAnsiTheme="majorHAnsi" w:cstheme="majorBidi"/>
          <w:sz w:val="24"/>
          <w:szCs w:val="24"/>
        </w:rPr>
        <w:t>ojects in local authority units</w:t>
      </w:r>
      <w:r w:rsidR="00382C6B">
        <w:rPr>
          <w:rFonts w:asciiTheme="majorHAnsi" w:hAnsiTheme="majorHAnsi" w:cstheme="majorBidi"/>
          <w:sz w:val="24"/>
          <w:szCs w:val="24"/>
        </w:rPr>
        <w:t xml:space="preserve"> (Chapter 4 of the budget)</w:t>
      </w:r>
      <w:r w:rsidR="004C0067">
        <w:rPr>
          <w:rFonts w:asciiTheme="majorHAnsi" w:hAnsiTheme="majorHAnsi" w:cstheme="majorBidi"/>
          <w:sz w:val="24"/>
          <w:szCs w:val="24"/>
        </w:rPr>
        <w:t xml:space="preserve">. </w:t>
      </w:r>
      <w:r w:rsidR="00FF5808">
        <w:rPr>
          <w:rFonts w:asciiTheme="majorHAnsi" w:hAnsiTheme="majorHAnsi" w:cstheme="majorBidi"/>
          <w:sz w:val="24"/>
          <w:szCs w:val="24"/>
        </w:rPr>
        <w:t xml:space="preserve">In budgets preparation, local authority units propose their capital expenditure </w:t>
      </w:r>
      <w:r w:rsidR="00FF5808">
        <w:rPr>
          <w:rFonts w:asciiTheme="majorHAnsi" w:hAnsiTheme="majorHAnsi" w:cstheme="majorBidi"/>
          <w:sz w:val="24"/>
          <w:szCs w:val="24"/>
        </w:rPr>
        <w:lastRenderedPageBreak/>
        <w:t>plans whose fund allocations</w:t>
      </w:r>
      <w:r w:rsidR="0042434C">
        <w:rPr>
          <w:rFonts w:asciiTheme="majorHAnsi" w:hAnsiTheme="majorHAnsi" w:cstheme="majorBidi"/>
          <w:sz w:val="24"/>
          <w:szCs w:val="24"/>
        </w:rPr>
        <w:t xml:space="preserve"> should be in principle derived from the unit</w:t>
      </w:r>
      <w:r w:rsidR="00FF5808">
        <w:rPr>
          <w:rFonts w:asciiTheme="majorHAnsi" w:hAnsiTheme="majorHAnsi" w:cstheme="majorBidi"/>
          <w:sz w:val="24"/>
          <w:szCs w:val="24"/>
        </w:rPr>
        <w:t>s</w:t>
      </w:r>
      <w:r w:rsidR="0042434C">
        <w:rPr>
          <w:rFonts w:asciiTheme="majorHAnsi" w:hAnsiTheme="majorHAnsi" w:cstheme="majorBidi"/>
          <w:sz w:val="24"/>
          <w:szCs w:val="24"/>
        </w:rPr>
        <w:t>'</w:t>
      </w:r>
      <w:r w:rsidR="00FF5808">
        <w:rPr>
          <w:rFonts w:asciiTheme="majorHAnsi" w:hAnsiTheme="majorHAnsi" w:cstheme="majorBidi"/>
          <w:sz w:val="24"/>
          <w:szCs w:val="24"/>
        </w:rPr>
        <w:t xml:space="preserve"> </w:t>
      </w:r>
      <w:r w:rsidR="00973958">
        <w:rPr>
          <w:rFonts w:asciiTheme="majorHAnsi" w:hAnsiTheme="majorHAnsi" w:cstheme="majorBidi"/>
          <w:sz w:val="24"/>
          <w:szCs w:val="24"/>
        </w:rPr>
        <w:t xml:space="preserve">ability to raise </w:t>
      </w:r>
      <w:r w:rsidR="0042434C">
        <w:rPr>
          <w:rFonts w:asciiTheme="majorHAnsi" w:hAnsiTheme="majorHAnsi" w:cstheme="majorBidi"/>
          <w:sz w:val="24"/>
          <w:szCs w:val="24"/>
        </w:rPr>
        <w:t xml:space="preserve">local </w:t>
      </w:r>
      <w:r w:rsidR="00FF5808">
        <w:rPr>
          <w:rFonts w:asciiTheme="majorHAnsi" w:hAnsiTheme="majorHAnsi" w:cstheme="majorBidi"/>
          <w:sz w:val="24"/>
          <w:szCs w:val="24"/>
        </w:rPr>
        <w:t>revenues</w:t>
      </w:r>
      <w:r w:rsidR="0042434C">
        <w:rPr>
          <w:rFonts w:asciiTheme="majorHAnsi" w:hAnsiTheme="majorHAnsi" w:cstheme="majorBidi"/>
          <w:sz w:val="24"/>
          <w:szCs w:val="24"/>
        </w:rPr>
        <w:t>.</w:t>
      </w:r>
      <w:r w:rsidR="00FF5808">
        <w:rPr>
          <w:rFonts w:asciiTheme="majorHAnsi" w:hAnsiTheme="majorHAnsi" w:cstheme="majorBidi"/>
          <w:sz w:val="24"/>
          <w:szCs w:val="24"/>
        </w:rPr>
        <w:t xml:space="preserve"> </w:t>
      </w:r>
      <w:r w:rsidR="0042434C">
        <w:rPr>
          <w:rFonts w:asciiTheme="majorHAnsi" w:hAnsiTheme="majorHAnsi" w:cstheme="majorBidi"/>
          <w:sz w:val="24"/>
          <w:szCs w:val="24"/>
        </w:rPr>
        <w:t xml:space="preserve"> Deficits in capital expenditure plans</w:t>
      </w:r>
      <w:r w:rsidRPr="0072532F">
        <w:rPr>
          <w:rFonts w:asciiTheme="majorHAnsi" w:hAnsiTheme="majorHAnsi" w:cstheme="majorBidi"/>
          <w:sz w:val="24"/>
          <w:szCs w:val="24"/>
        </w:rPr>
        <w:t xml:space="preserve"> </w:t>
      </w:r>
      <w:r w:rsidR="0042434C">
        <w:rPr>
          <w:rFonts w:asciiTheme="majorHAnsi" w:hAnsiTheme="majorHAnsi" w:cstheme="majorBidi"/>
          <w:sz w:val="24"/>
          <w:szCs w:val="24"/>
        </w:rPr>
        <w:t>are</w:t>
      </w:r>
      <w:r w:rsidRPr="0072532F">
        <w:rPr>
          <w:rFonts w:asciiTheme="majorHAnsi" w:hAnsiTheme="majorHAnsi" w:cstheme="majorBidi"/>
          <w:sz w:val="24"/>
          <w:szCs w:val="24"/>
        </w:rPr>
        <w:t xml:space="preserve"> allocated </w:t>
      </w:r>
      <w:r w:rsidR="004C0067" w:rsidRPr="0072532F">
        <w:rPr>
          <w:rFonts w:asciiTheme="majorHAnsi" w:hAnsiTheme="majorHAnsi" w:cstheme="majorBidi"/>
          <w:sz w:val="24"/>
          <w:szCs w:val="24"/>
        </w:rPr>
        <w:t xml:space="preserve">in each fiscal budget </w:t>
      </w:r>
      <w:r w:rsidRPr="0072532F">
        <w:rPr>
          <w:rFonts w:asciiTheme="majorHAnsi" w:hAnsiTheme="majorHAnsi" w:cstheme="majorBidi"/>
          <w:sz w:val="24"/>
          <w:szCs w:val="24"/>
        </w:rPr>
        <w:t xml:space="preserve">by the central authority </w:t>
      </w:r>
      <w:r w:rsidR="004C0067">
        <w:rPr>
          <w:rFonts w:asciiTheme="majorHAnsi" w:hAnsiTheme="majorHAnsi" w:cstheme="majorBidi"/>
          <w:sz w:val="24"/>
          <w:szCs w:val="24"/>
        </w:rPr>
        <w:t>in which</w:t>
      </w:r>
      <w:r w:rsidRPr="0072532F">
        <w:rPr>
          <w:rFonts w:asciiTheme="majorHAnsi" w:hAnsiTheme="majorHAnsi" w:cstheme="majorBidi"/>
          <w:sz w:val="24"/>
          <w:szCs w:val="24"/>
        </w:rPr>
        <w:t xml:space="preserve"> the Ministry of Finance proposes </w:t>
      </w:r>
      <w:r w:rsidR="00EE5E6A">
        <w:rPr>
          <w:rFonts w:asciiTheme="majorHAnsi" w:hAnsiTheme="majorHAnsi" w:cstheme="majorBidi"/>
          <w:sz w:val="24"/>
          <w:szCs w:val="24"/>
        </w:rPr>
        <w:t>an</w:t>
      </w:r>
      <w:r w:rsidR="00FF5808">
        <w:rPr>
          <w:rFonts w:asciiTheme="majorHAnsi" w:hAnsiTheme="majorHAnsi" w:cstheme="majorBidi"/>
          <w:sz w:val="24"/>
          <w:szCs w:val="24"/>
        </w:rPr>
        <w:t xml:space="preserve"> </w:t>
      </w:r>
      <w:r w:rsidR="00EE5E6A" w:rsidRPr="0072532F">
        <w:rPr>
          <w:rFonts w:asciiTheme="majorHAnsi" w:hAnsiTheme="majorHAnsi" w:cstheme="majorBidi"/>
          <w:sz w:val="24"/>
          <w:szCs w:val="24"/>
        </w:rPr>
        <w:t>extent</w:t>
      </w:r>
      <w:r w:rsidRPr="0072532F">
        <w:rPr>
          <w:rFonts w:asciiTheme="majorHAnsi" w:hAnsiTheme="majorHAnsi" w:cstheme="majorBidi"/>
          <w:sz w:val="24"/>
          <w:szCs w:val="24"/>
        </w:rPr>
        <w:t xml:space="preserve"> of the support </w:t>
      </w:r>
      <w:r w:rsidR="00EE5E6A">
        <w:rPr>
          <w:rFonts w:asciiTheme="majorHAnsi" w:hAnsiTheme="majorHAnsi" w:cstheme="majorBidi"/>
          <w:sz w:val="24"/>
          <w:szCs w:val="24"/>
        </w:rPr>
        <w:t>every</w:t>
      </w:r>
      <w:r w:rsidRPr="0072532F">
        <w:rPr>
          <w:rFonts w:asciiTheme="majorHAnsi" w:hAnsiTheme="majorHAnsi" w:cstheme="majorBidi"/>
          <w:sz w:val="24"/>
          <w:szCs w:val="24"/>
        </w:rPr>
        <w:t xml:space="preserve"> year </w:t>
      </w:r>
      <w:r w:rsidR="004C0067">
        <w:rPr>
          <w:rFonts w:asciiTheme="majorHAnsi" w:hAnsiTheme="majorHAnsi" w:cstheme="majorBidi"/>
          <w:sz w:val="24"/>
          <w:szCs w:val="24"/>
        </w:rPr>
        <w:t>in</w:t>
      </w:r>
      <w:r w:rsidR="00FF5808">
        <w:rPr>
          <w:rFonts w:asciiTheme="majorHAnsi" w:hAnsiTheme="majorHAnsi" w:cstheme="majorBidi"/>
          <w:sz w:val="24"/>
          <w:szCs w:val="24"/>
        </w:rPr>
        <w:t xml:space="preserve"> </w:t>
      </w:r>
      <w:r w:rsidR="00EE5E6A">
        <w:rPr>
          <w:rFonts w:asciiTheme="majorHAnsi" w:hAnsiTheme="majorHAnsi" w:cstheme="majorBidi"/>
          <w:sz w:val="24"/>
          <w:szCs w:val="24"/>
        </w:rPr>
        <w:t xml:space="preserve">a </w:t>
      </w:r>
      <w:r w:rsidRPr="0072532F">
        <w:rPr>
          <w:rFonts w:asciiTheme="majorHAnsi" w:hAnsiTheme="majorHAnsi" w:cstheme="majorBidi"/>
          <w:sz w:val="24"/>
          <w:szCs w:val="24"/>
        </w:rPr>
        <w:t xml:space="preserve">coordination with the Ministry of Local Administration and the Ministry of Planning and International Cooperation before the </w:t>
      </w:r>
      <w:r w:rsidR="0042434C">
        <w:rPr>
          <w:rFonts w:asciiTheme="majorHAnsi" w:hAnsiTheme="majorHAnsi" w:cstheme="majorBidi"/>
          <w:sz w:val="24"/>
          <w:szCs w:val="24"/>
        </w:rPr>
        <w:t>approval</w:t>
      </w:r>
      <w:r w:rsidR="0042434C" w:rsidRPr="0072532F">
        <w:rPr>
          <w:rFonts w:asciiTheme="majorHAnsi" w:hAnsiTheme="majorHAnsi" w:cstheme="majorBidi"/>
          <w:sz w:val="24"/>
          <w:szCs w:val="24"/>
        </w:rPr>
        <w:t xml:space="preserve"> </w:t>
      </w:r>
      <w:r w:rsidRPr="0072532F">
        <w:rPr>
          <w:rFonts w:asciiTheme="majorHAnsi" w:hAnsiTheme="majorHAnsi" w:cstheme="majorBidi"/>
          <w:sz w:val="24"/>
          <w:szCs w:val="24"/>
        </w:rPr>
        <w:t>of local authority annual fiscal budgets.</w:t>
      </w:r>
      <w:r w:rsidR="00FF5808">
        <w:rPr>
          <w:rFonts w:asciiTheme="majorHAnsi" w:hAnsiTheme="majorHAnsi" w:cstheme="majorBidi"/>
          <w:sz w:val="24"/>
          <w:szCs w:val="24"/>
        </w:rPr>
        <w:t xml:space="preserve"> </w:t>
      </w:r>
      <w:r w:rsidR="00155583">
        <w:rPr>
          <w:rFonts w:asciiTheme="majorHAnsi" w:hAnsiTheme="majorHAnsi" w:cstheme="majorBidi"/>
          <w:sz w:val="24"/>
          <w:szCs w:val="24"/>
        </w:rPr>
        <w:t>The allocations of c</w:t>
      </w:r>
      <w:r w:rsidR="00782710">
        <w:rPr>
          <w:rFonts w:asciiTheme="majorHAnsi" w:hAnsiTheme="majorHAnsi" w:cstheme="majorBidi"/>
          <w:sz w:val="24"/>
          <w:szCs w:val="24"/>
        </w:rPr>
        <w:t xml:space="preserve">apital functional expenditures </w:t>
      </w:r>
      <w:r w:rsidR="00155583">
        <w:rPr>
          <w:rFonts w:asciiTheme="majorHAnsi" w:hAnsiTheme="majorHAnsi" w:cstheme="majorBidi"/>
          <w:sz w:val="24"/>
          <w:szCs w:val="24"/>
        </w:rPr>
        <w:t xml:space="preserve">by local authority </w:t>
      </w:r>
      <w:r w:rsidR="00782710">
        <w:rPr>
          <w:rFonts w:asciiTheme="majorHAnsi" w:hAnsiTheme="majorHAnsi" w:cstheme="majorBidi"/>
          <w:sz w:val="24"/>
          <w:szCs w:val="24"/>
        </w:rPr>
        <w:t xml:space="preserve">on health, education, economic affairs, social protection, </w:t>
      </w:r>
      <w:r w:rsidR="00155583">
        <w:rPr>
          <w:rFonts w:asciiTheme="majorHAnsi" w:hAnsiTheme="majorHAnsi" w:cstheme="majorBidi"/>
          <w:sz w:val="24"/>
          <w:szCs w:val="24"/>
        </w:rPr>
        <w:t xml:space="preserve">environmental protection, </w:t>
      </w:r>
      <w:r w:rsidR="000A736E">
        <w:rPr>
          <w:rFonts w:asciiTheme="majorHAnsi" w:hAnsiTheme="majorHAnsi" w:cstheme="majorBidi"/>
          <w:sz w:val="24"/>
          <w:szCs w:val="24"/>
        </w:rPr>
        <w:t>or</w:t>
      </w:r>
      <w:r w:rsidR="00155583">
        <w:rPr>
          <w:rFonts w:asciiTheme="majorHAnsi" w:hAnsiTheme="majorHAnsi" w:cstheme="majorBidi"/>
          <w:sz w:val="24"/>
          <w:szCs w:val="24"/>
        </w:rPr>
        <w:t xml:space="preserve"> housing affairs are proposed and </w:t>
      </w:r>
      <w:r w:rsidR="00973958">
        <w:rPr>
          <w:rFonts w:asciiTheme="majorHAnsi" w:hAnsiTheme="majorHAnsi" w:cstheme="majorBidi"/>
          <w:sz w:val="24"/>
          <w:szCs w:val="24"/>
        </w:rPr>
        <w:t>approved</w:t>
      </w:r>
      <w:r w:rsidR="00155583">
        <w:rPr>
          <w:rFonts w:asciiTheme="majorHAnsi" w:hAnsiTheme="majorHAnsi" w:cstheme="majorBidi"/>
          <w:sz w:val="24"/>
          <w:szCs w:val="24"/>
        </w:rPr>
        <w:t xml:space="preserve"> in line with the government annual </w:t>
      </w:r>
      <w:r w:rsidR="000A736E">
        <w:rPr>
          <w:rFonts w:asciiTheme="majorHAnsi" w:hAnsiTheme="majorHAnsi" w:cstheme="majorBidi"/>
          <w:sz w:val="24"/>
          <w:szCs w:val="24"/>
        </w:rPr>
        <w:t>Public I</w:t>
      </w:r>
      <w:r w:rsidR="00155583">
        <w:rPr>
          <w:rFonts w:asciiTheme="majorHAnsi" w:hAnsiTheme="majorHAnsi" w:cstheme="majorBidi"/>
          <w:sz w:val="24"/>
          <w:szCs w:val="24"/>
        </w:rPr>
        <w:t xml:space="preserve">nvestment </w:t>
      </w:r>
      <w:r w:rsidR="000A736E">
        <w:rPr>
          <w:rFonts w:asciiTheme="majorHAnsi" w:hAnsiTheme="majorHAnsi" w:cstheme="majorBidi"/>
          <w:sz w:val="24"/>
          <w:szCs w:val="24"/>
        </w:rPr>
        <w:t>P</w:t>
      </w:r>
      <w:r w:rsidR="00155583">
        <w:rPr>
          <w:rFonts w:asciiTheme="majorHAnsi" w:hAnsiTheme="majorHAnsi" w:cstheme="majorBidi"/>
          <w:sz w:val="24"/>
          <w:szCs w:val="24"/>
        </w:rPr>
        <w:t>rogram (PIP) and the country's development plans.</w:t>
      </w:r>
      <w:r w:rsidR="00973958">
        <w:rPr>
          <w:rFonts w:asciiTheme="majorHAnsi" w:hAnsiTheme="majorHAnsi" w:cstheme="majorBidi"/>
          <w:sz w:val="24"/>
          <w:szCs w:val="24"/>
        </w:rPr>
        <w:t xml:space="preserve"> Local capital expenditures </w:t>
      </w:r>
      <w:r w:rsidR="007C1B07">
        <w:rPr>
          <w:rFonts w:asciiTheme="majorHAnsi" w:hAnsiTheme="majorHAnsi" w:cstheme="majorBidi"/>
          <w:sz w:val="24"/>
          <w:szCs w:val="24"/>
        </w:rPr>
        <w:t xml:space="preserve">(local investment projects) </w:t>
      </w:r>
      <w:r w:rsidR="00973958">
        <w:rPr>
          <w:rFonts w:asciiTheme="majorHAnsi" w:hAnsiTheme="majorHAnsi" w:cstheme="majorBidi"/>
          <w:sz w:val="24"/>
          <w:szCs w:val="24"/>
        </w:rPr>
        <w:t>are considered independent from central authority and administered and managed solely by the heads of local authority units</w:t>
      </w:r>
      <w:r w:rsidR="000A736E">
        <w:rPr>
          <w:rFonts w:asciiTheme="majorHAnsi" w:hAnsiTheme="majorHAnsi" w:cstheme="majorBidi"/>
          <w:sz w:val="24"/>
          <w:szCs w:val="24"/>
        </w:rPr>
        <w:t xml:space="preserve"> (governors and heads of districts)</w:t>
      </w:r>
      <w:r w:rsidR="00973958">
        <w:rPr>
          <w:rFonts w:asciiTheme="majorHAnsi" w:hAnsiTheme="majorHAnsi" w:cstheme="majorBidi"/>
          <w:sz w:val="24"/>
          <w:szCs w:val="24"/>
        </w:rPr>
        <w:t>.</w:t>
      </w:r>
    </w:p>
    <w:p w:rsidR="00FE11E1" w:rsidRPr="0072532F" w:rsidRDefault="00FE11E1" w:rsidP="00FE11E1">
      <w:pPr>
        <w:pStyle w:val="ListParagraph"/>
        <w:numPr>
          <w:ilvl w:val="0"/>
          <w:numId w:val="6"/>
        </w:numPr>
        <w:spacing w:line="480" w:lineRule="auto"/>
        <w:ind w:left="1276" w:hanging="283"/>
        <w:rPr>
          <w:rFonts w:asciiTheme="majorHAnsi" w:hAnsiTheme="majorHAnsi" w:cstheme="majorBidi"/>
          <w:sz w:val="24"/>
          <w:szCs w:val="24"/>
        </w:rPr>
      </w:pPr>
      <w:r w:rsidRPr="0072532F">
        <w:rPr>
          <w:rFonts w:asciiTheme="majorHAnsi" w:hAnsiTheme="majorHAnsi" w:cstheme="majorBidi"/>
          <w:b/>
          <w:bCs/>
          <w:sz w:val="24"/>
          <w:szCs w:val="24"/>
        </w:rPr>
        <w:t xml:space="preserve">Joint Public Revenues: </w:t>
      </w:r>
      <w:r w:rsidRPr="0072532F">
        <w:rPr>
          <w:rFonts w:asciiTheme="majorHAnsi" w:hAnsiTheme="majorHAnsi" w:cstheme="majorBidi"/>
          <w:sz w:val="24"/>
          <w:szCs w:val="24"/>
        </w:rPr>
        <w:t>which are:</w:t>
      </w:r>
    </w:p>
    <w:p w:rsidR="00FE11E1" w:rsidRPr="0072532F" w:rsidRDefault="009A7934" w:rsidP="00FE11E1">
      <w:pPr>
        <w:pStyle w:val="ListParagraph"/>
        <w:numPr>
          <w:ilvl w:val="1"/>
          <w:numId w:val="6"/>
        </w:numPr>
        <w:spacing w:line="480" w:lineRule="auto"/>
        <w:rPr>
          <w:rFonts w:asciiTheme="majorHAnsi" w:hAnsiTheme="majorHAnsi" w:cstheme="majorBidi"/>
          <w:sz w:val="24"/>
          <w:szCs w:val="24"/>
        </w:rPr>
      </w:pPr>
      <w:r>
        <w:rPr>
          <w:rFonts w:asciiTheme="majorHAnsi" w:hAnsiTheme="majorHAnsi" w:cstheme="majorBidi"/>
          <w:sz w:val="24"/>
          <w:szCs w:val="24"/>
        </w:rPr>
        <w:t>C</w:t>
      </w:r>
      <w:r w:rsidR="00FE11E1" w:rsidRPr="0072532F">
        <w:rPr>
          <w:rFonts w:asciiTheme="majorHAnsi" w:hAnsiTheme="majorHAnsi" w:cstheme="majorBidi"/>
          <w:sz w:val="24"/>
          <w:szCs w:val="24"/>
        </w:rPr>
        <w:t xml:space="preserve">harges imposed on air and sea travel tickets </w:t>
      </w:r>
    </w:p>
    <w:p w:rsidR="00FE11E1" w:rsidRPr="0072532F" w:rsidRDefault="00FE11E1" w:rsidP="00FE11E1">
      <w:pPr>
        <w:pStyle w:val="ListParagraph"/>
        <w:numPr>
          <w:ilvl w:val="1"/>
          <w:numId w:val="6"/>
        </w:numPr>
        <w:spacing w:line="480" w:lineRule="auto"/>
        <w:rPr>
          <w:rFonts w:asciiTheme="majorHAnsi" w:hAnsiTheme="majorHAnsi" w:cstheme="majorBidi"/>
          <w:sz w:val="24"/>
          <w:szCs w:val="24"/>
        </w:rPr>
      </w:pPr>
      <w:r w:rsidRPr="0072532F">
        <w:rPr>
          <w:rFonts w:asciiTheme="majorHAnsi" w:hAnsiTheme="majorHAnsi" w:cstheme="majorBidi"/>
          <w:sz w:val="24"/>
          <w:szCs w:val="24"/>
        </w:rPr>
        <w:t xml:space="preserve">(30%) of annual revenues of the following </w:t>
      </w:r>
      <w:r w:rsidR="004C0067">
        <w:rPr>
          <w:rFonts w:asciiTheme="majorHAnsi" w:hAnsiTheme="majorHAnsi" w:cstheme="majorBidi"/>
          <w:sz w:val="24"/>
          <w:szCs w:val="24"/>
        </w:rPr>
        <w:t xml:space="preserve">three </w:t>
      </w:r>
      <w:r w:rsidRPr="0072532F">
        <w:rPr>
          <w:rFonts w:asciiTheme="majorHAnsi" w:hAnsiTheme="majorHAnsi" w:cstheme="majorBidi"/>
          <w:sz w:val="24"/>
          <w:szCs w:val="24"/>
        </w:rPr>
        <w:t>funds in which expending these revenues must be in accordance to the purposes for which the funds were established:</w:t>
      </w:r>
    </w:p>
    <w:p w:rsidR="00FE11E1" w:rsidRPr="0072532F" w:rsidRDefault="00FE11E1" w:rsidP="00FE11E1">
      <w:pPr>
        <w:pStyle w:val="ListParagraph"/>
        <w:numPr>
          <w:ilvl w:val="2"/>
          <w:numId w:val="6"/>
        </w:numPr>
        <w:spacing w:line="480" w:lineRule="auto"/>
        <w:rPr>
          <w:rFonts w:asciiTheme="majorHAnsi" w:hAnsiTheme="majorHAnsi" w:cstheme="majorBidi"/>
          <w:sz w:val="24"/>
          <w:szCs w:val="24"/>
        </w:rPr>
      </w:pPr>
      <w:r w:rsidRPr="0072532F">
        <w:rPr>
          <w:rFonts w:asciiTheme="majorHAnsi" w:hAnsiTheme="majorHAnsi" w:cstheme="majorBidi"/>
          <w:sz w:val="24"/>
          <w:szCs w:val="24"/>
        </w:rPr>
        <w:t>Roads and Bridges Maintenance Fund</w:t>
      </w:r>
    </w:p>
    <w:p w:rsidR="00FE11E1" w:rsidRPr="0072532F" w:rsidRDefault="00FE11E1" w:rsidP="00FE11E1">
      <w:pPr>
        <w:pStyle w:val="ListParagraph"/>
        <w:numPr>
          <w:ilvl w:val="2"/>
          <w:numId w:val="6"/>
        </w:numPr>
        <w:spacing w:line="480" w:lineRule="auto"/>
        <w:rPr>
          <w:rFonts w:asciiTheme="majorHAnsi" w:hAnsiTheme="majorHAnsi" w:cstheme="majorBidi"/>
          <w:sz w:val="24"/>
          <w:szCs w:val="24"/>
        </w:rPr>
      </w:pPr>
      <w:r w:rsidRPr="0072532F">
        <w:rPr>
          <w:rFonts w:asciiTheme="majorHAnsi" w:hAnsiTheme="majorHAnsi" w:cstheme="majorBidi"/>
          <w:sz w:val="24"/>
          <w:szCs w:val="24"/>
        </w:rPr>
        <w:t>Agricultural and Fishery Production Encouragement Fund</w:t>
      </w:r>
    </w:p>
    <w:p w:rsidR="00FE11E1" w:rsidRPr="0072532F" w:rsidRDefault="00FE11E1" w:rsidP="00FE11E1">
      <w:pPr>
        <w:pStyle w:val="ListParagraph"/>
        <w:numPr>
          <w:ilvl w:val="2"/>
          <w:numId w:val="6"/>
        </w:numPr>
        <w:spacing w:line="480" w:lineRule="auto"/>
        <w:rPr>
          <w:rFonts w:asciiTheme="majorHAnsi" w:hAnsiTheme="majorHAnsi" w:cstheme="majorBidi"/>
          <w:sz w:val="24"/>
          <w:szCs w:val="24"/>
        </w:rPr>
      </w:pPr>
      <w:r w:rsidRPr="0072532F">
        <w:rPr>
          <w:rFonts w:asciiTheme="majorHAnsi" w:hAnsiTheme="majorHAnsi" w:cstheme="majorBidi"/>
          <w:sz w:val="24"/>
          <w:szCs w:val="24"/>
        </w:rPr>
        <w:lastRenderedPageBreak/>
        <w:t>Young People's Welfare, Youth and Sports Fund</w:t>
      </w:r>
    </w:p>
    <w:p w:rsidR="00FE11E1" w:rsidRPr="0072532F" w:rsidRDefault="00FE11E1" w:rsidP="00FE11E1">
      <w:pPr>
        <w:pStyle w:val="ListParagraph"/>
        <w:numPr>
          <w:ilvl w:val="1"/>
          <w:numId w:val="6"/>
        </w:numPr>
        <w:spacing w:line="480" w:lineRule="auto"/>
        <w:rPr>
          <w:rFonts w:asciiTheme="majorHAnsi" w:hAnsiTheme="majorHAnsi" w:cstheme="majorBidi"/>
          <w:sz w:val="24"/>
          <w:szCs w:val="24"/>
        </w:rPr>
      </w:pPr>
      <w:r w:rsidRPr="0072532F">
        <w:rPr>
          <w:rFonts w:asciiTheme="majorHAnsi" w:hAnsiTheme="majorHAnsi" w:cstheme="majorBidi"/>
          <w:sz w:val="24"/>
          <w:szCs w:val="24"/>
        </w:rPr>
        <w:t>Value-Added Tax (VAT) on mobile phone consumption</w:t>
      </w:r>
    </w:p>
    <w:p w:rsidR="00FE11E1" w:rsidRPr="0072532F" w:rsidRDefault="00FE11E1" w:rsidP="00FE11E1">
      <w:pPr>
        <w:pStyle w:val="ListParagraph"/>
        <w:numPr>
          <w:ilvl w:val="0"/>
          <w:numId w:val="6"/>
        </w:numPr>
        <w:spacing w:line="480" w:lineRule="auto"/>
        <w:ind w:left="1276" w:hanging="283"/>
        <w:rPr>
          <w:rFonts w:asciiTheme="majorHAnsi" w:hAnsiTheme="majorHAnsi" w:cstheme="majorBidi"/>
          <w:sz w:val="24"/>
          <w:szCs w:val="24"/>
        </w:rPr>
      </w:pPr>
      <w:r w:rsidRPr="0072532F">
        <w:rPr>
          <w:rFonts w:asciiTheme="majorHAnsi" w:hAnsiTheme="majorHAnsi" w:cstheme="majorBidi"/>
          <w:b/>
          <w:bCs/>
          <w:sz w:val="24"/>
          <w:szCs w:val="24"/>
        </w:rPr>
        <w:t xml:space="preserve">Local Authority Revenues: </w:t>
      </w:r>
      <w:r w:rsidRPr="0072532F">
        <w:rPr>
          <w:rFonts w:asciiTheme="majorHAnsi" w:hAnsiTheme="majorHAnsi" w:cstheme="majorBidi"/>
          <w:sz w:val="24"/>
          <w:szCs w:val="24"/>
        </w:rPr>
        <w:t>which are divided into two sources as follows:</w:t>
      </w:r>
    </w:p>
    <w:p w:rsidR="00FE11E1" w:rsidRDefault="009A7934" w:rsidP="00FE11E1">
      <w:pPr>
        <w:pStyle w:val="ListParagraph"/>
        <w:numPr>
          <w:ilvl w:val="1"/>
          <w:numId w:val="6"/>
        </w:numPr>
        <w:spacing w:line="480" w:lineRule="auto"/>
        <w:rPr>
          <w:rFonts w:asciiTheme="majorHAnsi" w:hAnsiTheme="majorHAnsi" w:cstheme="majorBidi"/>
          <w:sz w:val="24"/>
          <w:szCs w:val="24"/>
        </w:rPr>
      </w:pPr>
      <w:r w:rsidRPr="00C050FF">
        <w:rPr>
          <w:rFonts w:asciiTheme="majorHAnsi" w:hAnsiTheme="majorHAnsi" w:cstheme="majorBidi"/>
          <w:sz w:val="24"/>
          <w:szCs w:val="24"/>
          <w:u w:val="single"/>
        </w:rPr>
        <w:t>L</w:t>
      </w:r>
      <w:r w:rsidR="00FE11E1" w:rsidRPr="00C050FF">
        <w:rPr>
          <w:rFonts w:asciiTheme="majorHAnsi" w:hAnsiTheme="majorHAnsi" w:cstheme="majorBidi"/>
          <w:sz w:val="24"/>
          <w:szCs w:val="24"/>
          <w:u w:val="single"/>
        </w:rPr>
        <w:t>ocal revenues collected by districts</w:t>
      </w:r>
      <w:r w:rsidR="004C0067" w:rsidRPr="00C050FF">
        <w:rPr>
          <w:rFonts w:asciiTheme="majorHAnsi" w:hAnsiTheme="majorHAnsi" w:cstheme="majorBidi"/>
          <w:sz w:val="24"/>
          <w:szCs w:val="24"/>
          <w:u w:val="single"/>
        </w:rPr>
        <w:t>; to be used</w:t>
      </w:r>
      <w:r w:rsidR="00FE11E1" w:rsidRPr="00C050FF">
        <w:rPr>
          <w:rFonts w:asciiTheme="majorHAnsi" w:hAnsiTheme="majorHAnsi" w:cstheme="majorBidi"/>
          <w:sz w:val="24"/>
          <w:szCs w:val="24"/>
          <w:u w:val="single"/>
        </w:rPr>
        <w:t xml:space="preserve"> for their benefits</w:t>
      </w:r>
      <w:r w:rsidR="00C050FF">
        <w:rPr>
          <w:rFonts w:asciiTheme="majorHAnsi" w:hAnsiTheme="majorHAnsi" w:cstheme="majorBidi"/>
          <w:sz w:val="24"/>
          <w:szCs w:val="24"/>
          <w:u w:val="single"/>
        </w:rPr>
        <w:t xml:space="preserve">. </w:t>
      </w:r>
      <w:r w:rsidR="00C050FF" w:rsidRPr="00C050FF">
        <w:rPr>
          <w:rFonts w:asciiTheme="majorHAnsi" w:hAnsiTheme="majorHAnsi" w:cstheme="majorBidi"/>
          <w:b/>
          <w:bCs/>
          <w:i/>
          <w:iCs/>
          <w:sz w:val="24"/>
          <w:szCs w:val="24"/>
        </w:rPr>
        <w:t>There are over 27 taxes and fees</w:t>
      </w:r>
      <w:r w:rsidR="00C050FF" w:rsidRPr="00C050FF">
        <w:rPr>
          <w:rFonts w:asciiTheme="majorHAnsi" w:hAnsiTheme="majorHAnsi" w:cstheme="majorBidi"/>
          <w:sz w:val="24"/>
          <w:szCs w:val="24"/>
        </w:rPr>
        <w:t xml:space="preserve"> that districts have a full authority to collect</w:t>
      </w:r>
      <w:r>
        <w:rPr>
          <w:rFonts w:asciiTheme="majorHAnsi" w:hAnsiTheme="majorHAnsi" w:cstheme="majorBidi"/>
          <w:sz w:val="24"/>
          <w:szCs w:val="24"/>
        </w:rPr>
        <w:t xml:space="preserve"> such as:</w:t>
      </w:r>
    </w:p>
    <w:p w:rsidR="009A7934" w:rsidRPr="009A7934" w:rsidRDefault="009A7934" w:rsidP="009A7934">
      <w:pPr>
        <w:pStyle w:val="ListParagraph"/>
        <w:numPr>
          <w:ilvl w:val="2"/>
          <w:numId w:val="6"/>
        </w:numPr>
        <w:shd w:val="clear" w:color="auto" w:fill="F5F5F5"/>
        <w:spacing w:after="100" w:line="480" w:lineRule="auto"/>
        <w:textAlignment w:val="top"/>
        <w:rPr>
          <w:rFonts w:asciiTheme="majorHAnsi" w:eastAsia="Times New Roman" w:hAnsiTheme="majorHAnsi" w:cs="Arial"/>
          <w:sz w:val="24"/>
          <w:szCs w:val="24"/>
        </w:rPr>
      </w:pPr>
      <w:r>
        <w:rPr>
          <w:rFonts w:asciiTheme="majorHAnsi" w:eastAsia="Times New Roman" w:hAnsiTheme="majorHAnsi" w:cs="Arial"/>
          <w:sz w:val="24"/>
          <w:szCs w:val="24"/>
        </w:rPr>
        <w:t>(</w:t>
      </w:r>
      <w:r w:rsidRPr="009A7934">
        <w:rPr>
          <w:rFonts w:asciiTheme="majorHAnsi" w:eastAsia="Times New Roman" w:hAnsiTheme="majorHAnsi" w:cs="Arial"/>
          <w:sz w:val="24"/>
          <w:szCs w:val="24"/>
        </w:rPr>
        <w:t xml:space="preserve">50%) of the proceeds of various kinds </w:t>
      </w:r>
      <w:r>
        <w:rPr>
          <w:rFonts w:asciiTheme="majorHAnsi" w:eastAsia="Times New Roman" w:hAnsiTheme="majorHAnsi" w:cs="Arial"/>
          <w:sz w:val="24"/>
          <w:szCs w:val="24"/>
        </w:rPr>
        <w:t>of Z</w:t>
      </w:r>
      <w:r w:rsidRPr="009A7934">
        <w:rPr>
          <w:rFonts w:asciiTheme="majorHAnsi" w:eastAsia="Times New Roman" w:hAnsiTheme="majorHAnsi" w:cs="Arial"/>
          <w:sz w:val="24"/>
          <w:szCs w:val="24"/>
        </w:rPr>
        <w:t>akat</w:t>
      </w:r>
      <w:r w:rsidR="007C1B07">
        <w:rPr>
          <w:rFonts w:asciiTheme="majorHAnsi" w:eastAsia="Times New Roman" w:hAnsiTheme="majorHAnsi" w:cs="Arial"/>
          <w:sz w:val="24"/>
          <w:szCs w:val="24"/>
        </w:rPr>
        <w:t xml:space="preserve"> </w:t>
      </w:r>
      <w:r>
        <w:rPr>
          <w:rFonts w:asciiTheme="majorHAnsi" w:eastAsia="Times New Roman" w:hAnsiTheme="majorHAnsi" w:cs="Arial"/>
          <w:sz w:val="24"/>
          <w:szCs w:val="24"/>
        </w:rPr>
        <w:t>( Charity, Alms)</w:t>
      </w:r>
    </w:p>
    <w:p w:rsidR="009A7934" w:rsidRPr="009A7934" w:rsidRDefault="009A7934" w:rsidP="009A7934">
      <w:pPr>
        <w:pStyle w:val="ListParagraph"/>
        <w:numPr>
          <w:ilvl w:val="2"/>
          <w:numId w:val="6"/>
        </w:numPr>
        <w:shd w:val="clear" w:color="auto" w:fill="F5F5F5"/>
        <w:spacing w:after="100" w:line="480" w:lineRule="auto"/>
        <w:textAlignment w:val="top"/>
        <w:rPr>
          <w:rFonts w:asciiTheme="majorHAnsi" w:eastAsia="Times New Roman" w:hAnsiTheme="majorHAnsi" w:cs="Arial"/>
          <w:sz w:val="24"/>
          <w:szCs w:val="24"/>
        </w:rPr>
      </w:pPr>
      <w:r>
        <w:rPr>
          <w:rFonts w:asciiTheme="majorHAnsi" w:eastAsia="Times New Roman" w:hAnsiTheme="majorHAnsi" w:cs="Arial"/>
          <w:sz w:val="24"/>
          <w:szCs w:val="24"/>
        </w:rPr>
        <w:t xml:space="preserve"> Fees on Advertisements and commercial ads</w:t>
      </w:r>
    </w:p>
    <w:p w:rsidR="00C050FF" w:rsidRPr="00C050FF" w:rsidRDefault="009A7934" w:rsidP="00C050FF">
      <w:pPr>
        <w:pStyle w:val="ListParagraph"/>
        <w:numPr>
          <w:ilvl w:val="2"/>
          <w:numId w:val="6"/>
        </w:numPr>
        <w:shd w:val="clear" w:color="auto" w:fill="F5F5F5"/>
        <w:spacing w:after="100" w:line="480" w:lineRule="auto"/>
        <w:textAlignment w:val="top"/>
        <w:rPr>
          <w:rFonts w:asciiTheme="majorHAnsi" w:eastAsia="Times New Roman" w:hAnsiTheme="majorHAnsi" w:cs="Arial"/>
          <w:sz w:val="24"/>
          <w:szCs w:val="24"/>
        </w:rPr>
      </w:pPr>
      <w:r w:rsidRPr="009A7934">
        <w:rPr>
          <w:rFonts w:asciiTheme="majorHAnsi" w:eastAsia="Times New Roman" w:hAnsiTheme="majorHAnsi" w:cs="Arial"/>
          <w:sz w:val="24"/>
          <w:szCs w:val="24"/>
        </w:rPr>
        <w:t>Fees and taxes on movie tickets, festivals and sporting events and other entertainment</w:t>
      </w:r>
      <w:r w:rsidR="00C050FF">
        <w:rPr>
          <w:rFonts w:asciiTheme="majorHAnsi" w:eastAsia="Times New Roman" w:hAnsiTheme="majorHAnsi" w:cs="Arial"/>
          <w:sz w:val="24"/>
          <w:szCs w:val="24"/>
        </w:rPr>
        <w:t xml:space="preserve"> activities</w:t>
      </w:r>
    </w:p>
    <w:p w:rsidR="00C050FF" w:rsidRPr="00C050FF" w:rsidRDefault="00C050FF" w:rsidP="00C050FF">
      <w:pPr>
        <w:pStyle w:val="ListParagraph"/>
        <w:numPr>
          <w:ilvl w:val="2"/>
          <w:numId w:val="6"/>
        </w:numPr>
        <w:shd w:val="clear" w:color="auto" w:fill="F5F5F5"/>
        <w:spacing w:after="100" w:line="480" w:lineRule="auto"/>
        <w:textAlignment w:val="top"/>
        <w:rPr>
          <w:rFonts w:asciiTheme="majorHAnsi" w:eastAsia="Times New Roman" w:hAnsiTheme="majorHAnsi" w:cs="Arial"/>
          <w:sz w:val="24"/>
          <w:szCs w:val="24"/>
        </w:rPr>
      </w:pPr>
      <w:r>
        <w:rPr>
          <w:rFonts w:asciiTheme="majorHAnsi" w:eastAsia="Times New Roman" w:hAnsiTheme="majorHAnsi" w:cs="Arial"/>
          <w:sz w:val="24"/>
          <w:szCs w:val="24"/>
        </w:rPr>
        <w:t xml:space="preserve"> Fees on </w:t>
      </w:r>
      <w:r w:rsidR="009A7934" w:rsidRPr="009A7934">
        <w:rPr>
          <w:rFonts w:asciiTheme="majorHAnsi" w:eastAsia="Times New Roman" w:hAnsiTheme="majorHAnsi" w:cs="Arial"/>
          <w:sz w:val="24"/>
          <w:szCs w:val="24"/>
        </w:rPr>
        <w:t>Building permit</w:t>
      </w:r>
      <w:r>
        <w:rPr>
          <w:rFonts w:asciiTheme="majorHAnsi" w:eastAsia="Times New Roman" w:hAnsiTheme="majorHAnsi" w:cs="Arial"/>
          <w:sz w:val="24"/>
          <w:szCs w:val="24"/>
        </w:rPr>
        <w:t>s</w:t>
      </w:r>
    </w:p>
    <w:p w:rsidR="00C050FF" w:rsidRPr="00C050FF" w:rsidRDefault="009A7934" w:rsidP="00C050FF">
      <w:pPr>
        <w:pStyle w:val="ListParagraph"/>
        <w:numPr>
          <w:ilvl w:val="2"/>
          <w:numId w:val="6"/>
        </w:numPr>
        <w:shd w:val="clear" w:color="auto" w:fill="F5F5F5"/>
        <w:spacing w:after="100" w:line="480" w:lineRule="auto"/>
        <w:textAlignment w:val="top"/>
        <w:rPr>
          <w:rFonts w:asciiTheme="majorHAnsi" w:eastAsia="Times New Roman" w:hAnsiTheme="majorHAnsi" w:cs="Arial"/>
          <w:sz w:val="24"/>
          <w:szCs w:val="24"/>
        </w:rPr>
      </w:pPr>
      <w:r w:rsidRPr="009A7934">
        <w:rPr>
          <w:rFonts w:asciiTheme="majorHAnsi" w:eastAsia="Times New Roman" w:hAnsiTheme="majorHAnsi" w:cs="Arial"/>
          <w:sz w:val="24"/>
          <w:szCs w:val="24"/>
        </w:rPr>
        <w:t xml:space="preserve">Fees </w:t>
      </w:r>
      <w:r w:rsidR="00C050FF">
        <w:rPr>
          <w:rFonts w:asciiTheme="majorHAnsi" w:eastAsia="Times New Roman" w:hAnsiTheme="majorHAnsi" w:cs="Arial"/>
          <w:sz w:val="24"/>
          <w:szCs w:val="24"/>
        </w:rPr>
        <w:t>on new shops'</w:t>
      </w:r>
      <w:r w:rsidR="008A6D20">
        <w:rPr>
          <w:rFonts w:asciiTheme="majorHAnsi" w:eastAsia="Times New Roman" w:hAnsiTheme="majorHAnsi" w:cs="Arial"/>
          <w:sz w:val="24"/>
          <w:szCs w:val="24"/>
        </w:rPr>
        <w:t xml:space="preserve"> </w:t>
      </w:r>
      <w:r w:rsidR="00C050FF">
        <w:rPr>
          <w:rFonts w:asciiTheme="majorHAnsi" w:eastAsia="Times New Roman" w:hAnsiTheme="majorHAnsi" w:cs="Arial"/>
          <w:sz w:val="24"/>
          <w:szCs w:val="24"/>
        </w:rPr>
        <w:t>opening</w:t>
      </w:r>
    </w:p>
    <w:p w:rsidR="00C050FF" w:rsidRPr="00C050FF" w:rsidRDefault="00C050FF" w:rsidP="00C050FF">
      <w:pPr>
        <w:pStyle w:val="ListParagraph"/>
        <w:numPr>
          <w:ilvl w:val="2"/>
          <w:numId w:val="6"/>
        </w:numPr>
        <w:shd w:val="clear" w:color="auto" w:fill="F5F5F5"/>
        <w:spacing w:after="100" w:line="480" w:lineRule="auto"/>
        <w:textAlignment w:val="top"/>
        <w:rPr>
          <w:rFonts w:asciiTheme="majorHAnsi" w:eastAsia="Times New Roman" w:hAnsiTheme="majorHAnsi" w:cs="Arial"/>
          <w:sz w:val="24"/>
          <w:szCs w:val="24"/>
        </w:rPr>
      </w:pPr>
      <w:r>
        <w:rPr>
          <w:rFonts w:asciiTheme="majorHAnsi" w:eastAsia="Times New Roman" w:hAnsiTheme="majorHAnsi" w:cs="Arial"/>
          <w:sz w:val="24"/>
          <w:szCs w:val="24"/>
        </w:rPr>
        <w:t xml:space="preserve">Fees on official motorization of documents and </w:t>
      </w:r>
      <w:r w:rsidR="009A7934" w:rsidRPr="009A7934">
        <w:rPr>
          <w:rFonts w:asciiTheme="majorHAnsi" w:eastAsia="Times New Roman" w:hAnsiTheme="majorHAnsi" w:cs="Arial"/>
          <w:sz w:val="24"/>
          <w:szCs w:val="24"/>
        </w:rPr>
        <w:t>contracts</w:t>
      </w:r>
    </w:p>
    <w:p w:rsidR="00C050FF" w:rsidRPr="00C050FF" w:rsidRDefault="009A7934" w:rsidP="00C050FF">
      <w:pPr>
        <w:pStyle w:val="ListParagraph"/>
        <w:numPr>
          <w:ilvl w:val="2"/>
          <w:numId w:val="6"/>
        </w:numPr>
        <w:shd w:val="clear" w:color="auto" w:fill="F5F5F5"/>
        <w:spacing w:after="100" w:line="480" w:lineRule="auto"/>
        <w:textAlignment w:val="top"/>
        <w:rPr>
          <w:rFonts w:asciiTheme="majorHAnsi" w:eastAsia="Times New Roman" w:hAnsiTheme="majorHAnsi" w:cs="Arial"/>
          <w:sz w:val="24"/>
          <w:szCs w:val="24"/>
        </w:rPr>
      </w:pPr>
      <w:r w:rsidRPr="009A7934">
        <w:rPr>
          <w:rFonts w:asciiTheme="majorHAnsi" w:eastAsia="Times New Roman" w:hAnsiTheme="majorHAnsi" w:cs="Arial"/>
          <w:sz w:val="24"/>
          <w:szCs w:val="24"/>
        </w:rPr>
        <w:t>Fee</w:t>
      </w:r>
      <w:r w:rsidR="00C050FF">
        <w:rPr>
          <w:rFonts w:asciiTheme="majorHAnsi" w:eastAsia="Times New Roman" w:hAnsiTheme="majorHAnsi" w:cs="Arial"/>
          <w:sz w:val="24"/>
          <w:szCs w:val="24"/>
        </w:rPr>
        <w:t>s on drilling sewage tanks</w:t>
      </w:r>
    </w:p>
    <w:p w:rsidR="00C050FF" w:rsidRPr="00C050FF" w:rsidRDefault="00C050FF" w:rsidP="00C050FF">
      <w:pPr>
        <w:pStyle w:val="ListParagraph"/>
        <w:numPr>
          <w:ilvl w:val="2"/>
          <w:numId w:val="6"/>
        </w:numPr>
        <w:shd w:val="clear" w:color="auto" w:fill="F5F5F5"/>
        <w:spacing w:after="100" w:line="480" w:lineRule="auto"/>
        <w:textAlignment w:val="top"/>
        <w:rPr>
          <w:rFonts w:asciiTheme="majorHAnsi" w:eastAsia="Times New Roman" w:hAnsiTheme="majorHAnsi" w:cs="Arial"/>
          <w:sz w:val="24"/>
          <w:szCs w:val="24"/>
        </w:rPr>
      </w:pPr>
      <w:r>
        <w:rPr>
          <w:rFonts w:asciiTheme="majorHAnsi" w:eastAsia="Times New Roman" w:hAnsiTheme="majorHAnsi" w:cs="Arial"/>
          <w:sz w:val="24"/>
          <w:szCs w:val="24"/>
        </w:rPr>
        <w:t xml:space="preserve"> Added fees on the</w:t>
      </w:r>
      <w:r w:rsidR="000A736E">
        <w:rPr>
          <w:rFonts w:asciiTheme="majorHAnsi" w:eastAsia="Times New Roman" w:hAnsiTheme="majorHAnsi" w:cs="Arial"/>
          <w:sz w:val="24"/>
          <w:szCs w:val="24"/>
        </w:rPr>
        <w:t xml:space="preserve"> </w:t>
      </w:r>
      <w:r>
        <w:rPr>
          <w:rFonts w:asciiTheme="majorHAnsi" w:eastAsia="Times New Roman" w:hAnsiTheme="majorHAnsi" w:cs="Arial"/>
          <w:sz w:val="24"/>
          <w:szCs w:val="24"/>
        </w:rPr>
        <w:t xml:space="preserve">fees for </w:t>
      </w:r>
      <w:r w:rsidR="009A7934" w:rsidRPr="009A7934">
        <w:rPr>
          <w:rFonts w:asciiTheme="majorHAnsi" w:eastAsia="Times New Roman" w:hAnsiTheme="majorHAnsi" w:cs="Arial"/>
          <w:sz w:val="24"/>
          <w:szCs w:val="24"/>
        </w:rPr>
        <w:t xml:space="preserve">service </w:t>
      </w:r>
      <w:r>
        <w:rPr>
          <w:rFonts w:asciiTheme="majorHAnsi" w:eastAsia="Times New Roman" w:hAnsiTheme="majorHAnsi" w:cs="Arial"/>
          <w:sz w:val="24"/>
          <w:szCs w:val="24"/>
        </w:rPr>
        <w:t xml:space="preserve">in </w:t>
      </w:r>
      <w:r w:rsidR="009A7934" w:rsidRPr="009A7934">
        <w:rPr>
          <w:rFonts w:asciiTheme="majorHAnsi" w:eastAsia="Times New Roman" w:hAnsiTheme="majorHAnsi" w:cs="Arial"/>
          <w:sz w:val="24"/>
          <w:szCs w:val="24"/>
        </w:rPr>
        <w:t>slaughterhouses and meat and fish markets</w:t>
      </w:r>
    </w:p>
    <w:p w:rsidR="009A7934" w:rsidRPr="00C050FF" w:rsidRDefault="00C050FF" w:rsidP="009A7934">
      <w:pPr>
        <w:pStyle w:val="ListParagraph"/>
        <w:numPr>
          <w:ilvl w:val="2"/>
          <w:numId w:val="6"/>
        </w:numPr>
        <w:shd w:val="clear" w:color="auto" w:fill="F5F5F5"/>
        <w:spacing w:after="100" w:line="480" w:lineRule="auto"/>
        <w:textAlignment w:val="top"/>
        <w:rPr>
          <w:rFonts w:asciiTheme="majorHAnsi" w:hAnsiTheme="majorHAnsi" w:cstheme="majorBidi"/>
          <w:sz w:val="24"/>
          <w:szCs w:val="24"/>
        </w:rPr>
      </w:pPr>
      <w:r w:rsidRPr="00C050FF">
        <w:rPr>
          <w:rFonts w:asciiTheme="majorHAnsi" w:eastAsia="Times New Roman" w:hAnsiTheme="majorHAnsi" w:cs="Arial"/>
          <w:sz w:val="24"/>
          <w:szCs w:val="24"/>
        </w:rPr>
        <w:t>Fees on civil</w:t>
      </w:r>
      <w:r w:rsidR="009A7934" w:rsidRPr="00C050FF">
        <w:rPr>
          <w:rFonts w:asciiTheme="majorHAnsi" w:eastAsia="Times New Roman" w:hAnsiTheme="majorHAnsi" w:cs="Arial"/>
          <w:sz w:val="24"/>
          <w:szCs w:val="24"/>
        </w:rPr>
        <w:t xml:space="preserve"> service</w:t>
      </w:r>
      <w:r w:rsidRPr="00C050FF">
        <w:rPr>
          <w:rFonts w:asciiTheme="majorHAnsi" w:eastAsia="Times New Roman" w:hAnsiTheme="majorHAnsi" w:cs="Arial"/>
          <w:sz w:val="24"/>
          <w:szCs w:val="24"/>
        </w:rPr>
        <w:t>s</w:t>
      </w:r>
      <w:r w:rsidR="009A7934" w:rsidRPr="00C050FF">
        <w:rPr>
          <w:rFonts w:asciiTheme="majorHAnsi" w:eastAsia="Times New Roman" w:hAnsiTheme="majorHAnsi" w:cs="Arial"/>
          <w:sz w:val="24"/>
          <w:szCs w:val="24"/>
        </w:rPr>
        <w:t xml:space="preserve"> and civil registry</w:t>
      </w:r>
      <w:r w:rsidRPr="00C050FF">
        <w:rPr>
          <w:rFonts w:asciiTheme="majorHAnsi" w:eastAsia="Times New Roman" w:hAnsiTheme="majorHAnsi" w:cs="Arial"/>
          <w:sz w:val="24"/>
          <w:szCs w:val="24"/>
        </w:rPr>
        <w:t xml:space="preserve"> services</w:t>
      </w:r>
    </w:p>
    <w:p w:rsidR="00FE11E1" w:rsidRDefault="009A7934" w:rsidP="00066F95">
      <w:pPr>
        <w:pStyle w:val="ListParagraph"/>
        <w:numPr>
          <w:ilvl w:val="1"/>
          <w:numId w:val="6"/>
        </w:numPr>
        <w:spacing w:line="480" w:lineRule="auto"/>
        <w:rPr>
          <w:rFonts w:asciiTheme="majorHAnsi" w:hAnsiTheme="majorHAnsi" w:cstheme="majorBidi"/>
          <w:sz w:val="24"/>
          <w:szCs w:val="24"/>
        </w:rPr>
      </w:pPr>
      <w:r w:rsidRPr="00C050FF">
        <w:rPr>
          <w:rFonts w:asciiTheme="majorHAnsi" w:hAnsiTheme="majorHAnsi" w:cstheme="majorBidi"/>
          <w:sz w:val="24"/>
          <w:szCs w:val="24"/>
          <w:u w:val="single"/>
        </w:rPr>
        <w:t>S</w:t>
      </w:r>
      <w:r w:rsidR="00FE11E1" w:rsidRPr="00C050FF">
        <w:rPr>
          <w:rFonts w:asciiTheme="majorHAnsi" w:hAnsiTheme="majorHAnsi" w:cstheme="majorBidi"/>
          <w:sz w:val="24"/>
          <w:szCs w:val="24"/>
          <w:u w:val="single"/>
        </w:rPr>
        <w:t xml:space="preserve">hared revenues at the </w:t>
      </w:r>
      <w:r w:rsidR="00066F95">
        <w:rPr>
          <w:rFonts w:asciiTheme="majorHAnsi" w:hAnsiTheme="majorHAnsi" w:cstheme="majorBidi"/>
          <w:sz w:val="24"/>
          <w:szCs w:val="24"/>
          <w:u w:val="single"/>
        </w:rPr>
        <w:t>governorate</w:t>
      </w:r>
      <w:r w:rsidR="00FE11E1" w:rsidRPr="00C050FF">
        <w:rPr>
          <w:rFonts w:asciiTheme="majorHAnsi" w:hAnsiTheme="majorHAnsi" w:cstheme="majorBidi"/>
          <w:sz w:val="24"/>
          <w:szCs w:val="24"/>
          <w:u w:val="single"/>
        </w:rPr>
        <w:t xml:space="preserve"> level. They are revenues collected by districts for the benefits of the governorate as a whole</w:t>
      </w:r>
      <w:r w:rsidR="00FE11E1" w:rsidRPr="0072532F">
        <w:rPr>
          <w:rFonts w:asciiTheme="majorHAnsi" w:hAnsiTheme="majorHAnsi" w:cstheme="majorBidi"/>
          <w:sz w:val="24"/>
          <w:szCs w:val="24"/>
        </w:rPr>
        <w:t>.</w:t>
      </w:r>
      <w:r w:rsidR="008A6D20">
        <w:rPr>
          <w:rFonts w:asciiTheme="majorHAnsi" w:hAnsiTheme="majorHAnsi" w:cstheme="majorBidi"/>
          <w:sz w:val="24"/>
          <w:szCs w:val="24"/>
        </w:rPr>
        <w:t xml:space="preserve"> </w:t>
      </w:r>
      <w:r w:rsidR="00066F95" w:rsidRPr="00066F95">
        <w:rPr>
          <w:rFonts w:asciiTheme="majorHAnsi" w:hAnsiTheme="majorHAnsi" w:cstheme="majorBidi"/>
          <w:b/>
          <w:bCs/>
          <w:i/>
          <w:iCs/>
          <w:sz w:val="24"/>
          <w:szCs w:val="24"/>
        </w:rPr>
        <w:t>There are 28 taxes and fees</w:t>
      </w:r>
      <w:r w:rsidR="00066F95">
        <w:rPr>
          <w:rFonts w:asciiTheme="majorHAnsi" w:hAnsiTheme="majorHAnsi" w:cstheme="majorBidi"/>
          <w:sz w:val="24"/>
          <w:szCs w:val="24"/>
        </w:rPr>
        <w:t xml:space="preserve"> such as:</w:t>
      </w:r>
    </w:p>
    <w:p w:rsidR="00066F95" w:rsidRPr="00066F95" w:rsidRDefault="00066F95" w:rsidP="00066F95">
      <w:pPr>
        <w:pStyle w:val="ListParagraph"/>
        <w:numPr>
          <w:ilvl w:val="0"/>
          <w:numId w:val="12"/>
        </w:numPr>
        <w:spacing w:line="480" w:lineRule="auto"/>
        <w:ind w:left="2977"/>
        <w:rPr>
          <w:rFonts w:asciiTheme="majorHAnsi" w:hAnsiTheme="majorHAnsi" w:cstheme="majorBidi"/>
          <w:sz w:val="24"/>
          <w:szCs w:val="24"/>
        </w:rPr>
      </w:pPr>
      <w:r>
        <w:rPr>
          <w:rFonts w:asciiTheme="majorHAnsi" w:eastAsia="Times New Roman" w:hAnsiTheme="majorHAnsi" w:cs="Arial"/>
          <w:sz w:val="24"/>
          <w:szCs w:val="24"/>
        </w:rPr>
        <w:t>(</w:t>
      </w:r>
      <w:r w:rsidRPr="009A7934">
        <w:rPr>
          <w:rFonts w:asciiTheme="majorHAnsi" w:eastAsia="Times New Roman" w:hAnsiTheme="majorHAnsi" w:cs="Arial"/>
          <w:sz w:val="24"/>
          <w:szCs w:val="24"/>
        </w:rPr>
        <w:t xml:space="preserve">50%) of the proceeds of various kinds </w:t>
      </w:r>
      <w:r>
        <w:rPr>
          <w:rFonts w:asciiTheme="majorHAnsi" w:eastAsia="Times New Roman" w:hAnsiTheme="majorHAnsi" w:cs="Arial"/>
          <w:sz w:val="24"/>
          <w:szCs w:val="24"/>
        </w:rPr>
        <w:t>of Z</w:t>
      </w:r>
      <w:r w:rsidRPr="009A7934">
        <w:rPr>
          <w:rFonts w:asciiTheme="majorHAnsi" w:eastAsia="Times New Roman" w:hAnsiTheme="majorHAnsi" w:cs="Arial"/>
          <w:sz w:val="24"/>
          <w:szCs w:val="24"/>
        </w:rPr>
        <w:t>akat</w:t>
      </w:r>
      <w:r w:rsidR="000A736E">
        <w:rPr>
          <w:rFonts w:asciiTheme="majorHAnsi" w:eastAsia="Times New Roman" w:hAnsiTheme="majorHAnsi" w:cs="Arial"/>
          <w:sz w:val="24"/>
          <w:szCs w:val="24"/>
        </w:rPr>
        <w:t xml:space="preserve"> </w:t>
      </w:r>
      <w:r>
        <w:rPr>
          <w:rFonts w:asciiTheme="majorHAnsi" w:eastAsia="Times New Roman" w:hAnsiTheme="majorHAnsi" w:cs="Arial"/>
          <w:sz w:val="24"/>
          <w:szCs w:val="24"/>
        </w:rPr>
        <w:t>(Charity, Alms)</w:t>
      </w:r>
    </w:p>
    <w:p w:rsidR="00066F95" w:rsidRPr="00066F95" w:rsidRDefault="00066F95" w:rsidP="00066F95">
      <w:pPr>
        <w:pStyle w:val="ListParagraph"/>
        <w:numPr>
          <w:ilvl w:val="0"/>
          <w:numId w:val="12"/>
        </w:numPr>
        <w:spacing w:line="480" w:lineRule="auto"/>
        <w:ind w:left="2977"/>
        <w:rPr>
          <w:rFonts w:asciiTheme="majorHAnsi" w:hAnsiTheme="majorHAnsi" w:cstheme="majorBidi"/>
          <w:sz w:val="24"/>
          <w:szCs w:val="24"/>
        </w:rPr>
      </w:pPr>
      <w:r w:rsidRPr="00066F95">
        <w:rPr>
          <w:rStyle w:val="hps"/>
          <w:rFonts w:asciiTheme="majorHAnsi" w:hAnsiTheme="majorHAnsi" w:cs="Arial"/>
          <w:sz w:val="24"/>
          <w:szCs w:val="24"/>
        </w:rPr>
        <w:lastRenderedPageBreak/>
        <w:t>Tax payable</w:t>
      </w:r>
      <w:r w:rsidR="008A6D20">
        <w:rPr>
          <w:rStyle w:val="hps"/>
          <w:rFonts w:asciiTheme="majorHAnsi" w:hAnsiTheme="majorHAnsi" w:cs="Arial"/>
          <w:sz w:val="24"/>
          <w:szCs w:val="24"/>
        </w:rPr>
        <w:t xml:space="preserve"> </w:t>
      </w:r>
      <w:r w:rsidRPr="00066F95">
        <w:rPr>
          <w:rStyle w:val="hps"/>
          <w:rFonts w:asciiTheme="majorHAnsi" w:hAnsiTheme="majorHAnsi" w:cs="Arial"/>
          <w:sz w:val="24"/>
          <w:szCs w:val="24"/>
        </w:rPr>
        <w:t>on</w:t>
      </w:r>
      <w:r w:rsidR="008A6D20">
        <w:rPr>
          <w:rStyle w:val="hps"/>
          <w:rFonts w:asciiTheme="majorHAnsi" w:hAnsiTheme="majorHAnsi" w:cs="Arial"/>
          <w:sz w:val="24"/>
          <w:szCs w:val="24"/>
        </w:rPr>
        <w:t xml:space="preserve"> </w:t>
      </w:r>
      <w:r w:rsidRPr="00066F95">
        <w:rPr>
          <w:rStyle w:val="hps"/>
          <w:rFonts w:asciiTheme="majorHAnsi" w:hAnsiTheme="majorHAnsi" w:cs="Arial"/>
          <w:sz w:val="24"/>
          <w:szCs w:val="24"/>
        </w:rPr>
        <w:t>real</w:t>
      </w:r>
      <w:r w:rsidR="008A6D20">
        <w:rPr>
          <w:rStyle w:val="hps"/>
          <w:rFonts w:asciiTheme="majorHAnsi" w:hAnsiTheme="majorHAnsi" w:cs="Arial"/>
          <w:sz w:val="24"/>
          <w:szCs w:val="24"/>
        </w:rPr>
        <w:t xml:space="preserve"> </w:t>
      </w:r>
      <w:r w:rsidRPr="00066F95">
        <w:rPr>
          <w:rStyle w:val="hps"/>
          <w:rFonts w:asciiTheme="majorHAnsi" w:hAnsiTheme="majorHAnsi" w:cs="Arial"/>
          <w:sz w:val="24"/>
          <w:szCs w:val="24"/>
        </w:rPr>
        <w:t>estate</w:t>
      </w:r>
      <w:r w:rsidR="008A6D20">
        <w:rPr>
          <w:rStyle w:val="hps"/>
          <w:rFonts w:asciiTheme="majorHAnsi" w:hAnsiTheme="majorHAnsi" w:cs="Arial"/>
          <w:sz w:val="24"/>
          <w:szCs w:val="24"/>
        </w:rPr>
        <w:t xml:space="preserve"> </w:t>
      </w:r>
      <w:r w:rsidRPr="00066F95">
        <w:rPr>
          <w:rStyle w:val="hps"/>
          <w:rFonts w:asciiTheme="majorHAnsi" w:hAnsiTheme="majorHAnsi" w:cs="Arial"/>
          <w:sz w:val="24"/>
          <w:szCs w:val="24"/>
        </w:rPr>
        <w:t>rents</w:t>
      </w:r>
    </w:p>
    <w:p w:rsidR="00066F95" w:rsidRPr="00066F95" w:rsidRDefault="00066F95" w:rsidP="00066F95">
      <w:pPr>
        <w:pStyle w:val="ListParagraph"/>
        <w:numPr>
          <w:ilvl w:val="0"/>
          <w:numId w:val="12"/>
        </w:numPr>
        <w:spacing w:line="480" w:lineRule="auto"/>
        <w:ind w:left="2977"/>
        <w:rPr>
          <w:rStyle w:val="hps"/>
          <w:rFonts w:asciiTheme="majorHAnsi" w:hAnsiTheme="majorHAnsi" w:cstheme="majorBidi"/>
          <w:sz w:val="24"/>
          <w:szCs w:val="24"/>
        </w:rPr>
      </w:pPr>
      <w:r>
        <w:rPr>
          <w:rStyle w:val="hps"/>
          <w:rFonts w:asciiTheme="majorHAnsi" w:hAnsiTheme="majorHAnsi" w:cs="Arial"/>
          <w:sz w:val="24"/>
          <w:szCs w:val="24"/>
        </w:rPr>
        <w:t>Sales Tax on Qat</w:t>
      </w:r>
    </w:p>
    <w:p w:rsidR="00066F95" w:rsidRPr="00066F95" w:rsidRDefault="00066F95" w:rsidP="00066F95">
      <w:pPr>
        <w:pStyle w:val="ListParagraph"/>
        <w:numPr>
          <w:ilvl w:val="0"/>
          <w:numId w:val="12"/>
        </w:numPr>
        <w:spacing w:line="480" w:lineRule="auto"/>
        <w:ind w:left="2977"/>
        <w:rPr>
          <w:rStyle w:val="hps"/>
          <w:rFonts w:asciiTheme="majorHAnsi" w:hAnsiTheme="majorHAnsi" w:cstheme="majorBidi"/>
          <w:sz w:val="24"/>
          <w:szCs w:val="24"/>
        </w:rPr>
      </w:pPr>
      <w:r>
        <w:rPr>
          <w:rStyle w:val="hps"/>
          <w:rFonts w:asciiTheme="majorHAnsi" w:hAnsiTheme="majorHAnsi" w:cs="Arial"/>
          <w:sz w:val="24"/>
          <w:szCs w:val="24"/>
        </w:rPr>
        <w:t>Enl</w:t>
      </w:r>
      <w:r w:rsidRPr="00066F95">
        <w:rPr>
          <w:rStyle w:val="hps"/>
          <w:rFonts w:asciiTheme="majorHAnsi" w:hAnsiTheme="majorHAnsi" w:cs="Arial"/>
          <w:sz w:val="24"/>
          <w:szCs w:val="24"/>
        </w:rPr>
        <w:t>isting fee</w:t>
      </w:r>
      <w:r w:rsidR="000A736E">
        <w:rPr>
          <w:rStyle w:val="hps"/>
          <w:rFonts w:asciiTheme="majorHAnsi" w:hAnsiTheme="majorHAnsi" w:cs="Arial"/>
          <w:sz w:val="24"/>
          <w:szCs w:val="24"/>
        </w:rPr>
        <w:t xml:space="preserve"> </w:t>
      </w:r>
      <w:r w:rsidRPr="00066F95">
        <w:rPr>
          <w:rStyle w:val="hps"/>
          <w:rFonts w:asciiTheme="majorHAnsi" w:hAnsiTheme="majorHAnsi" w:cs="Arial"/>
          <w:sz w:val="24"/>
          <w:szCs w:val="24"/>
        </w:rPr>
        <w:t>sin the commercial register</w:t>
      </w:r>
    </w:p>
    <w:p w:rsidR="00066F95" w:rsidRPr="00066F95" w:rsidRDefault="00066F95" w:rsidP="00066F95">
      <w:pPr>
        <w:pStyle w:val="ListParagraph"/>
        <w:numPr>
          <w:ilvl w:val="0"/>
          <w:numId w:val="12"/>
        </w:numPr>
        <w:spacing w:line="480" w:lineRule="auto"/>
        <w:ind w:left="2977"/>
        <w:rPr>
          <w:rStyle w:val="hps"/>
          <w:rFonts w:asciiTheme="majorHAnsi" w:hAnsiTheme="majorHAnsi" w:cstheme="majorBidi"/>
          <w:sz w:val="24"/>
          <w:szCs w:val="24"/>
        </w:rPr>
      </w:pPr>
      <w:r w:rsidRPr="00066F95">
        <w:rPr>
          <w:rStyle w:val="hps"/>
          <w:rFonts w:asciiTheme="majorHAnsi" w:hAnsiTheme="majorHAnsi" w:cs="Arial"/>
          <w:sz w:val="24"/>
          <w:szCs w:val="24"/>
        </w:rPr>
        <w:t>Driving</w:t>
      </w:r>
      <w:r w:rsidR="008A6D20">
        <w:rPr>
          <w:rStyle w:val="hps"/>
          <w:rFonts w:asciiTheme="majorHAnsi" w:hAnsiTheme="majorHAnsi" w:cs="Arial"/>
          <w:sz w:val="24"/>
          <w:szCs w:val="24"/>
        </w:rPr>
        <w:t xml:space="preserve"> </w:t>
      </w:r>
      <w:r w:rsidRPr="00066F95">
        <w:rPr>
          <w:rStyle w:val="hps"/>
          <w:rFonts w:asciiTheme="majorHAnsi" w:hAnsiTheme="majorHAnsi" w:cs="Arial"/>
          <w:sz w:val="24"/>
          <w:szCs w:val="24"/>
        </w:rPr>
        <w:t>license</w:t>
      </w:r>
      <w:r w:rsidR="008A6D20">
        <w:rPr>
          <w:rStyle w:val="hps"/>
          <w:rFonts w:asciiTheme="majorHAnsi" w:hAnsiTheme="majorHAnsi" w:cs="Arial"/>
          <w:sz w:val="24"/>
          <w:szCs w:val="24"/>
        </w:rPr>
        <w:t xml:space="preserve"> </w:t>
      </w:r>
      <w:r w:rsidRPr="00066F95">
        <w:rPr>
          <w:rStyle w:val="hps"/>
          <w:rFonts w:asciiTheme="majorHAnsi" w:hAnsiTheme="majorHAnsi" w:cs="Arial"/>
          <w:sz w:val="24"/>
          <w:szCs w:val="24"/>
        </w:rPr>
        <w:t>fees</w:t>
      </w:r>
    </w:p>
    <w:p w:rsidR="00066F95" w:rsidRPr="00066F95" w:rsidRDefault="00066F95" w:rsidP="00066F95">
      <w:pPr>
        <w:pStyle w:val="ListParagraph"/>
        <w:numPr>
          <w:ilvl w:val="0"/>
          <w:numId w:val="12"/>
        </w:numPr>
        <w:spacing w:line="480" w:lineRule="auto"/>
        <w:ind w:left="2977"/>
        <w:rPr>
          <w:rStyle w:val="hps"/>
          <w:rFonts w:asciiTheme="majorHAnsi" w:hAnsiTheme="majorHAnsi" w:cstheme="majorBidi"/>
          <w:sz w:val="24"/>
          <w:szCs w:val="24"/>
        </w:rPr>
      </w:pPr>
      <w:r>
        <w:rPr>
          <w:rStyle w:val="hps"/>
          <w:rFonts w:asciiTheme="majorHAnsi" w:hAnsiTheme="majorHAnsi" w:cs="Arial"/>
          <w:sz w:val="24"/>
          <w:szCs w:val="24"/>
        </w:rPr>
        <w:t>Fees on t</w:t>
      </w:r>
      <w:r w:rsidRPr="00066F95">
        <w:rPr>
          <w:rStyle w:val="hps"/>
          <w:rFonts w:asciiTheme="majorHAnsi" w:hAnsiTheme="majorHAnsi" w:cs="Arial"/>
          <w:sz w:val="24"/>
          <w:szCs w:val="24"/>
        </w:rPr>
        <w:t>he conduct of</w:t>
      </w:r>
      <w:r w:rsidR="008A6D20">
        <w:rPr>
          <w:rStyle w:val="hps"/>
          <w:rFonts w:asciiTheme="majorHAnsi" w:hAnsiTheme="majorHAnsi" w:cs="Arial"/>
          <w:sz w:val="24"/>
          <w:szCs w:val="24"/>
        </w:rPr>
        <w:t xml:space="preserve"> </w:t>
      </w:r>
      <w:r>
        <w:rPr>
          <w:rStyle w:val="hps"/>
          <w:rFonts w:asciiTheme="majorHAnsi" w:hAnsiTheme="majorHAnsi" w:cs="Arial"/>
          <w:sz w:val="24"/>
          <w:szCs w:val="24"/>
        </w:rPr>
        <w:t>permits</w:t>
      </w:r>
      <w:r w:rsidR="008A6D20">
        <w:rPr>
          <w:rStyle w:val="hps"/>
          <w:rFonts w:asciiTheme="majorHAnsi" w:hAnsiTheme="majorHAnsi" w:cs="Arial"/>
          <w:sz w:val="24"/>
          <w:szCs w:val="24"/>
        </w:rPr>
        <w:t xml:space="preserve"> </w:t>
      </w:r>
      <w:r w:rsidRPr="00066F95">
        <w:rPr>
          <w:rStyle w:val="hps"/>
          <w:rFonts w:asciiTheme="majorHAnsi" w:hAnsiTheme="majorHAnsi" w:cs="Arial"/>
          <w:sz w:val="24"/>
          <w:szCs w:val="24"/>
        </w:rPr>
        <w:t>and</w:t>
      </w:r>
      <w:r w:rsidR="008A6D20">
        <w:rPr>
          <w:rStyle w:val="hps"/>
          <w:rFonts w:asciiTheme="majorHAnsi" w:hAnsiTheme="majorHAnsi" w:cs="Arial"/>
          <w:sz w:val="24"/>
          <w:szCs w:val="24"/>
        </w:rPr>
        <w:t xml:space="preserve"> </w:t>
      </w:r>
      <w:r w:rsidRPr="00066F95">
        <w:rPr>
          <w:rStyle w:val="hps"/>
          <w:rFonts w:asciiTheme="majorHAnsi" w:hAnsiTheme="majorHAnsi" w:cs="Arial"/>
          <w:sz w:val="24"/>
          <w:szCs w:val="24"/>
        </w:rPr>
        <w:t>transportation</w:t>
      </w:r>
    </w:p>
    <w:p w:rsidR="00066F95" w:rsidRPr="00066F95" w:rsidRDefault="00066F95" w:rsidP="00066F95">
      <w:pPr>
        <w:pStyle w:val="ListParagraph"/>
        <w:numPr>
          <w:ilvl w:val="0"/>
          <w:numId w:val="12"/>
        </w:numPr>
        <w:spacing w:line="480" w:lineRule="auto"/>
        <w:ind w:left="2977"/>
        <w:rPr>
          <w:rStyle w:val="hps"/>
          <w:rFonts w:asciiTheme="majorHAnsi" w:hAnsiTheme="majorHAnsi" w:cstheme="majorBidi"/>
          <w:sz w:val="24"/>
          <w:szCs w:val="24"/>
        </w:rPr>
      </w:pPr>
      <w:r>
        <w:rPr>
          <w:rStyle w:val="hps"/>
          <w:rFonts w:asciiTheme="majorHAnsi" w:hAnsiTheme="majorHAnsi" w:cs="Arial"/>
          <w:sz w:val="24"/>
          <w:szCs w:val="24"/>
        </w:rPr>
        <w:t xml:space="preserve">Fees on ownership transfers of </w:t>
      </w:r>
      <w:r w:rsidRPr="00066F95">
        <w:rPr>
          <w:rStyle w:val="hps"/>
          <w:rFonts w:asciiTheme="majorHAnsi" w:hAnsiTheme="majorHAnsi" w:cs="Arial"/>
          <w:sz w:val="24"/>
          <w:szCs w:val="24"/>
        </w:rPr>
        <w:t>transport</w:t>
      </w:r>
      <w:r>
        <w:rPr>
          <w:rStyle w:val="hps"/>
          <w:rFonts w:asciiTheme="majorHAnsi" w:hAnsiTheme="majorHAnsi" w:cs="Arial"/>
          <w:sz w:val="24"/>
          <w:szCs w:val="24"/>
        </w:rPr>
        <w:t>ing vehicles</w:t>
      </w:r>
    </w:p>
    <w:p w:rsidR="00066F95" w:rsidRPr="00066F95" w:rsidRDefault="00066F95" w:rsidP="00066F95">
      <w:pPr>
        <w:pStyle w:val="ListParagraph"/>
        <w:numPr>
          <w:ilvl w:val="0"/>
          <w:numId w:val="12"/>
        </w:numPr>
        <w:spacing w:line="480" w:lineRule="auto"/>
        <w:ind w:left="2977"/>
        <w:rPr>
          <w:rStyle w:val="hps"/>
          <w:rFonts w:asciiTheme="majorHAnsi" w:hAnsiTheme="majorHAnsi" w:cstheme="majorBidi"/>
          <w:sz w:val="24"/>
          <w:szCs w:val="24"/>
        </w:rPr>
      </w:pPr>
      <w:r w:rsidRPr="00066F95">
        <w:rPr>
          <w:rStyle w:val="hps"/>
          <w:rFonts w:asciiTheme="majorHAnsi" w:hAnsiTheme="majorHAnsi" w:cs="Arial"/>
          <w:sz w:val="24"/>
          <w:szCs w:val="24"/>
        </w:rPr>
        <w:t>Fines for</w:t>
      </w:r>
      <w:r w:rsidR="008A6D20">
        <w:rPr>
          <w:rStyle w:val="hps"/>
          <w:rFonts w:asciiTheme="majorHAnsi" w:hAnsiTheme="majorHAnsi" w:cs="Arial"/>
          <w:sz w:val="24"/>
          <w:szCs w:val="24"/>
        </w:rPr>
        <w:t xml:space="preserve"> </w:t>
      </w:r>
      <w:r w:rsidRPr="00066F95">
        <w:rPr>
          <w:rStyle w:val="hps"/>
          <w:rFonts w:asciiTheme="majorHAnsi" w:hAnsiTheme="majorHAnsi" w:cs="Arial"/>
          <w:sz w:val="24"/>
          <w:szCs w:val="24"/>
        </w:rPr>
        <w:t>traffic</w:t>
      </w:r>
      <w:r w:rsidR="008A6D20">
        <w:rPr>
          <w:rStyle w:val="hps"/>
          <w:rFonts w:asciiTheme="majorHAnsi" w:hAnsiTheme="majorHAnsi" w:cs="Arial"/>
          <w:sz w:val="24"/>
          <w:szCs w:val="24"/>
        </w:rPr>
        <w:t xml:space="preserve"> </w:t>
      </w:r>
      <w:r w:rsidRPr="00066F95">
        <w:rPr>
          <w:rStyle w:val="hps"/>
          <w:rFonts w:asciiTheme="majorHAnsi" w:hAnsiTheme="majorHAnsi" w:cs="Arial"/>
          <w:sz w:val="24"/>
          <w:szCs w:val="24"/>
        </w:rPr>
        <w:t>violations</w:t>
      </w:r>
    </w:p>
    <w:p w:rsidR="00066F95" w:rsidRPr="00066F95" w:rsidRDefault="00066F95" w:rsidP="00066F95">
      <w:pPr>
        <w:pStyle w:val="ListParagraph"/>
        <w:numPr>
          <w:ilvl w:val="0"/>
          <w:numId w:val="12"/>
        </w:numPr>
        <w:spacing w:line="480" w:lineRule="auto"/>
        <w:ind w:left="2977"/>
        <w:rPr>
          <w:rStyle w:val="hps"/>
          <w:rFonts w:asciiTheme="majorHAnsi" w:hAnsiTheme="majorHAnsi" w:cstheme="majorBidi"/>
          <w:sz w:val="24"/>
          <w:szCs w:val="24"/>
        </w:rPr>
      </w:pPr>
      <w:r w:rsidRPr="00066F95">
        <w:rPr>
          <w:rStyle w:val="hps"/>
          <w:rFonts w:asciiTheme="majorHAnsi" w:hAnsiTheme="majorHAnsi" w:cs="Arial"/>
          <w:sz w:val="24"/>
          <w:szCs w:val="24"/>
        </w:rPr>
        <w:t>Fees</w:t>
      </w:r>
      <w:r>
        <w:rPr>
          <w:rFonts w:asciiTheme="majorHAnsi" w:hAnsiTheme="majorHAnsi" w:cs="Arial"/>
          <w:sz w:val="24"/>
          <w:szCs w:val="24"/>
        </w:rPr>
        <w:t xml:space="preserve"> on</w:t>
      </w:r>
      <w:r w:rsidR="008A6D20">
        <w:rPr>
          <w:rFonts w:asciiTheme="majorHAnsi" w:hAnsiTheme="majorHAnsi" w:cs="Arial"/>
          <w:sz w:val="24"/>
          <w:szCs w:val="24"/>
        </w:rPr>
        <w:t xml:space="preserve"> </w:t>
      </w:r>
      <w:r w:rsidRPr="00066F95">
        <w:rPr>
          <w:rStyle w:val="hps"/>
          <w:rFonts w:asciiTheme="majorHAnsi" w:hAnsiTheme="majorHAnsi" w:cs="Arial"/>
          <w:sz w:val="24"/>
          <w:szCs w:val="24"/>
        </w:rPr>
        <w:t>health and medical services</w:t>
      </w:r>
    </w:p>
    <w:p w:rsidR="00066F95" w:rsidRPr="00066F95" w:rsidRDefault="009750B9" w:rsidP="00066F95">
      <w:pPr>
        <w:pStyle w:val="ListParagraph"/>
        <w:numPr>
          <w:ilvl w:val="0"/>
          <w:numId w:val="12"/>
        </w:numPr>
        <w:spacing w:line="480" w:lineRule="auto"/>
        <w:ind w:left="2977"/>
        <w:rPr>
          <w:rFonts w:asciiTheme="majorHAnsi" w:hAnsiTheme="majorHAnsi" w:cstheme="majorBidi"/>
          <w:sz w:val="24"/>
          <w:szCs w:val="24"/>
        </w:rPr>
      </w:pPr>
      <w:r>
        <w:rPr>
          <w:rStyle w:val="hps"/>
          <w:rFonts w:asciiTheme="majorHAnsi" w:hAnsiTheme="majorHAnsi" w:cs="Arial"/>
          <w:sz w:val="24"/>
          <w:szCs w:val="24"/>
        </w:rPr>
        <w:t xml:space="preserve">Fees on various kind of </w:t>
      </w:r>
      <w:r w:rsidR="00066F95" w:rsidRPr="00066F95">
        <w:rPr>
          <w:rStyle w:val="hps"/>
          <w:rFonts w:asciiTheme="majorHAnsi" w:hAnsiTheme="majorHAnsi" w:cs="Arial"/>
          <w:sz w:val="24"/>
          <w:szCs w:val="24"/>
        </w:rPr>
        <w:t>health</w:t>
      </w:r>
      <w:r w:rsidR="008A6D20">
        <w:rPr>
          <w:rStyle w:val="hps"/>
          <w:rFonts w:asciiTheme="majorHAnsi" w:hAnsiTheme="majorHAnsi" w:cs="Arial"/>
          <w:sz w:val="24"/>
          <w:szCs w:val="24"/>
        </w:rPr>
        <w:t xml:space="preserve"> </w:t>
      </w:r>
      <w:r w:rsidR="00066F95" w:rsidRPr="00066F95">
        <w:rPr>
          <w:rStyle w:val="hps"/>
          <w:rFonts w:asciiTheme="majorHAnsi" w:hAnsiTheme="majorHAnsi" w:cs="Arial"/>
          <w:sz w:val="24"/>
          <w:szCs w:val="24"/>
        </w:rPr>
        <w:t>certifications</w:t>
      </w:r>
    </w:p>
    <w:p w:rsidR="00FE11E1" w:rsidRPr="00066F95" w:rsidRDefault="00FE11E1" w:rsidP="00066F95">
      <w:pPr>
        <w:spacing w:line="480" w:lineRule="auto"/>
        <w:ind w:firstLine="709"/>
        <w:rPr>
          <w:rFonts w:asciiTheme="majorHAnsi" w:hAnsiTheme="majorHAnsi" w:cstheme="majorBidi"/>
          <w:sz w:val="24"/>
          <w:szCs w:val="24"/>
        </w:rPr>
      </w:pPr>
      <w:r w:rsidRPr="00066F95">
        <w:rPr>
          <w:rFonts w:asciiTheme="majorHAnsi" w:hAnsiTheme="majorHAnsi" w:cstheme="majorBidi"/>
          <w:sz w:val="24"/>
          <w:szCs w:val="24"/>
        </w:rPr>
        <w:t>Article (124 / b) of the Local Government Law, states the distribution ratios of shared revenues at the local level in the following manners:</w:t>
      </w:r>
    </w:p>
    <w:p w:rsidR="00FE11E1" w:rsidRPr="0072532F" w:rsidRDefault="00FE11E1" w:rsidP="00FE11E1">
      <w:pPr>
        <w:pStyle w:val="ListParagraph"/>
        <w:numPr>
          <w:ilvl w:val="0"/>
          <w:numId w:val="10"/>
        </w:numPr>
        <w:spacing w:line="480" w:lineRule="auto"/>
        <w:ind w:left="1701" w:hanging="425"/>
        <w:rPr>
          <w:rFonts w:asciiTheme="majorHAnsi" w:hAnsiTheme="majorHAnsi" w:cstheme="majorBidi"/>
          <w:sz w:val="24"/>
          <w:szCs w:val="24"/>
        </w:rPr>
      </w:pPr>
      <w:r w:rsidRPr="0072532F">
        <w:rPr>
          <w:rFonts w:asciiTheme="majorHAnsi" w:hAnsiTheme="majorHAnsi" w:cstheme="majorBidi"/>
          <w:sz w:val="24"/>
          <w:szCs w:val="24"/>
        </w:rPr>
        <w:t xml:space="preserve">(25%) goes to </w:t>
      </w:r>
      <w:r w:rsidR="00834418">
        <w:rPr>
          <w:rFonts w:asciiTheme="majorHAnsi" w:hAnsiTheme="majorHAnsi" w:cstheme="majorBidi"/>
          <w:sz w:val="24"/>
          <w:szCs w:val="24"/>
        </w:rPr>
        <w:t xml:space="preserve">the </w:t>
      </w:r>
      <w:r w:rsidRPr="0072532F">
        <w:rPr>
          <w:rFonts w:asciiTheme="majorHAnsi" w:hAnsiTheme="majorHAnsi" w:cstheme="majorBidi"/>
          <w:sz w:val="24"/>
          <w:szCs w:val="24"/>
        </w:rPr>
        <w:t>district that collect</w:t>
      </w:r>
      <w:r w:rsidR="00834418">
        <w:rPr>
          <w:rFonts w:asciiTheme="majorHAnsi" w:hAnsiTheme="majorHAnsi" w:cstheme="majorBidi"/>
          <w:sz w:val="24"/>
          <w:szCs w:val="24"/>
        </w:rPr>
        <w:t>s</w:t>
      </w:r>
      <w:r w:rsidRPr="0072532F">
        <w:rPr>
          <w:rFonts w:asciiTheme="majorHAnsi" w:hAnsiTheme="majorHAnsi" w:cstheme="majorBidi"/>
          <w:sz w:val="24"/>
          <w:szCs w:val="24"/>
        </w:rPr>
        <w:t xml:space="preserve"> the revenue  </w:t>
      </w:r>
    </w:p>
    <w:p w:rsidR="00FE11E1" w:rsidRPr="0072532F" w:rsidRDefault="00FE11E1" w:rsidP="00FE11E1">
      <w:pPr>
        <w:pStyle w:val="ListParagraph"/>
        <w:numPr>
          <w:ilvl w:val="0"/>
          <w:numId w:val="10"/>
        </w:numPr>
        <w:spacing w:line="480" w:lineRule="auto"/>
        <w:ind w:left="1701" w:hanging="425"/>
        <w:rPr>
          <w:rFonts w:asciiTheme="majorHAnsi" w:hAnsiTheme="majorHAnsi" w:cstheme="majorBidi"/>
          <w:sz w:val="24"/>
          <w:szCs w:val="24"/>
        </w:rPr>
      </w:pPr>
      <w:r w:rsidRPr="0072532F">
        <w:rPr>
          <w:rFonts w:asciiTheme="majorHAnsi" w:hAnsiTheme="majorHAnsi" w:cstheme="majorBidi"/>
          <w:sz w:val="24"/>
          <w:szCs w:val="24"/>
        </w:rPr>
        <w:t xml:space="preserve">(25%) goes to </w:t>
      </w:r>
      <w:r w:rsidR="00834418">
        <w:rPr>
          <w:rFonts w:asciiTheme="majorHAnsi" w:hAnsiTheme="majorHAnsi" w:cstheme="majorBidi"/>
          <w:sz w:val="24"/>
          <w:szCs w:val="24"/>
        </w:rPr>
        <w:t xml:space="preserve">the </w:t>
      </w:r>
      <w:r w:rsidRPr="0072532F">
        <w:rPr>
          <w:rFonts w:asciiTheme="majorHAnsi" w:hAnsiTheme="majorHAnsi" w:cstheme="majorBidi"/>
          <w:sz w:val="24"/>
          <w:szCs w:val="24"/>
        </w:rPr>
        <w:t>governorate</w:t>
      </w:r>
      <w:r w:rsidR="00834418">
        <w:rPr>
          <w:rFonts w:asciiTheme="majorHAnsi" w:hAnsiTheme="majorHAnsi" w:cstheme="majorBidi"/>
          <w:sz w:val="24"/>
          <w:szCs w:val="24"/>
        </w:rPr>
        <w:t xml:space="preserve"> for its </w:t>
      </w:r>
      <w:r w:rsidRPr="0072532F">
        <w:rPr>
          <w:rFonts w:asciiTheme="majorHAnsi" w:hAnsiTheme="majorHAnsi" w:cstheme="majorBidi"/>
          <w:sz w:val="24"/>
          <w:szCs w:val="24"/>
        </w:rPr>
        <w:t>activity</w:t>
      </w:r>
    </w:p>
    <w:p w:rsidR="00FE11E1" w:rsidRPr="0072532F" w:rsidRDefault="00FE11E1" w:rsidP="00FE11E1">
      <w:pPr>
        <w:pStyle w:val="ListParagraph"/>
        <w:numPr>
          <w:ilvl w:val="0"/>
          <w:numId w:val="10"/>
        </w:numPr>
        <w:spacing w:line="480" w:lineRule="auto"/>
        <w:ind w:left="1701" w:hanging="425"/>
        <w:rPr>
          <w:rFonts w:asciiTheme="majorHAnsi" w:hAnsiTheme="majorHAnsi" w:cstheme="majorBidi"/>
          <w:sz w:val="24"/>
          <w:szCs w:val="24"/>
        </w:rPr>
      </w:pPr>
      <w:r w:rsidRPr="0072532F">
        <w:rPr>
          <w:rFonts w:asciiTheme="majorHAnsi" w:hAnsiTheme="majorHAnsi" w:cstheme="majorBidi"/>
          <w:sz w:val="24"/>
          <w:szCs w:val="24"/>
        </w:rPr>
        <w:t xml:space="preserve">(50%) </w:t>
      </w:r>
      <w:r w:rsidR="00AE6594">
        <w:rPr>
          <w:rFonts w:asciiTheme="majorHAnsi" w:hAnsiTheme="majorHAnsi" w:cstheme="majorBidi"/>
          <w:sz w:val="24"/>
          <w:szCs w:val="24"/>
        </w:rPr>
        <w:t>is</w:t>
      </w:r>
      <w:r w:rsidRPr="0072532F">
        <w:rPr>
          <w:rFonts w:asciiTheme="majorHAnsi" w:hAnsiTheme="majorHAnsi" w:cstheme="majorBidi"/>
          <w:sz w:val="24"/>
          <w:szCs w:val="24"/>
        </w:rPr>
        <w:t xml:space="preserve"> distributed equally among the rest of districts of the govern</w:t>
      </w:r>
      <w:r w:rsidR="00931EF5">
        <w:rPr>
          <w:rFonts w:asciiTheme="majorHAnsi" w:hAnsiTheme="majorHAnsi" w:cstheme="majorBidi"/>
          <w:sz w:val="24"/>
          <w:szCs w:val="24"/>
        </w:rPr>
        <w:t>orate</w:t>
      </w:r>
    </w:p>
    <w:p w:rsidR="00FE11E1" w:rsidRPr="0072532F" w:rsidRDefault="004C0067" w:rsidP="004C0067">
      <w:pPr>
        <w:spacing w:line="480" w:lineRule="auto"/>
        <w:ind w:firstLine="709"/>
        <w:rPr>
          <w:rFonts w:asciiTheme="majorHAnsi" w:hAnsiTheme="majorHAnsi" w:cstheme="majorBidi"/>
          <w:sz w:val="24"/>
          <w:szCs w:val="24"/>
        </w:rPr>
      </w:pPr>
      <w:r>
        <w:rPr>
          <w:rFonts w:asciiTheme="majorHAnsi" w:hAnsiTheme="majorHAnsi" w:cstheme="majorBidi"/>
          <w:sz w:val="24"/>
          <w:szCs w:val="24"/>
        </w:rPr>
        <w:t>Article (124 / c) defines the b</w:t>
      </w:r>
      <w:r w:rsidR="00FE11E1" w:rsidRPr="0072532F">
        <w:rPr>
          <w:rFonts w:asciiTheme="majorHAnsi" w:hAnsiTheme="majorHAnsi" w:cstheme="majorBidi"/>
          <w:sz w:val="24"/>
          <w:szCs w:val="24"/>
        </w:rPr>
        <w:t>asis and criteria for the distribution of the central capital subsidy and the joint public revenue according to:</w:t>
      </w:r>
    </w:p>
    <w:p w:rsidR="00FE11E1" w:rsidRPr="0072532F" w:rsidRDefault="00FE11E1" w:rsidP="00FE11E1">
      <w:pPr>
        <w:pStyle w:val="ListParagraph"/>
        <w:numPr>
          <w:ilvl w:val="0"/>
          <w:numId w:val="7"/>
        </w:numPr>
        <w:spacing w:line="480" w:lineRule="auto"/>
        <w:rPr>
          <w:rFonts w:asciiTheme="majorHAnsi" w:hAnsiTheme="majorHAnsi" w:cstheme="majorBidi"/>
          <w:sz w:val="24"/>
          <w:szCs w:val="24"/>
        </w:rPr>
      </w:pPr>
      <w:r w:rsidRPr="0072532F">
        <w:rPr>
          <w:rFonts w:asciiTheme="majorHAnsi" w:hAnsiTheme="majorHAnsi" w:cstheme="majorBidi"/>
          <w:sz w:val="24"/>
          <w:szCs w:val="24"/>
        </w:rPr>
        <w:t>Population density</w:t>
      </w:r>
    </w:p>
    <w:p w:rsidR="00FE11E1" w:rsidRPr="0072532F" w:rsidRDefault="00FE11E1" w:rsidP="00FE11E1">
      <w:pPr>
        <w:pStyle w:val="ListParagraph"/>
        <w:numPr>
          <w:ilvl w:val="0"/>
          <w:numId w:val="7"/>
        </w:numPr>
        <w:spacing w:line="480" w:lineRule="auto"/>
        <w:rPr>
          <w:rFonts w:asciiTheme="majorHAnsi" w:hAnsiTheme="majorHAnsi" w:cstheme="majorBidi"/>
          <w:sz w:val="24"/>
          <w:szCs w:val="24"/>
        </w:rPr>
      </w:pPr>
      <w:r w:rsidRPr="0072532F">
        <w:rPr>
          <w:rFonts w:asciiTheme="majorHAnsi" w:hAnsiTheme="majorHAnsi" w:cstheme="majorBidi"/>
          <w:sz w:val="24"/>
          <w:szCs w:val="24"/>
        </w:rPr>
        <w:t>Administrative units' resources abundance or scarcity</w:t>
      </w:r>
    </w:p>
    <w:p w:rsidR="00FE11E1" w:rsidRPr="0072532F" w:rsidRDefault="00FE11E1" w:rsidP="00FE11E1">
      <w:pPr>
        <w:pStyle w:val="ListParagraph"/>
        <w:numPr>
          <w:ilvl w:val="0"/>
          <w:numId w:val="7"/>
        </w:numPr>
        <w:spacing w:line="480" w:lineRule="auto"/>
        <w:rPr>
          <w:rFonts w:asciiTheme="majorHAnsi" w:hAnsiTheme="majorHAnsi" w:cstheme="majorBidi"/>
          <w:sz w:val="24"/>
          <w:szCs w:val="24"/>
        </w:rPr>
      </w:pPr>
      <w:r w:rsidRPr="0072532F">
        <w:rPr>
          <w:rFonts w:asciiTheme="majorHAnsi" w:hAnsiTheme="majorHAnsi" w:cstheme="majorBidi"/>
          <w:sz w:val="24"/>
          <w:szCs w:val="24"/>
        </w:rPr>
        <w:t xml:space="preserve"> The level of economic and social growth and relative deprivation</w:t>
      </w:r>
    </w:p>
    <w:p w:rsidR="00FE11E1" w:rsidRPr="0072532F" w:rsidRDefault="00FE11E1" w:rsidP="00FE11E1">
      <w:pPr>
        <w:pStyle w:val="ListParagraph"/>
        <w:numPr>
          <w:ilvl w:val="0"/>
          <w:numId w:val="7"/>
        </w:numPr>
        <w:spacing w:line="480" w:lineRule="auto"/>
        <w:rPr>
          <w:rFonts w:asciiTheme="majorHAnsi" w:hAnsiTheme="majorHAnsi" w:cstheme="majorBidi"/>
          <w:sz w:val="24"/>
          <w:szCs w:val="24"/>
        </w:rPr>
      </w:pPr>
      <w:r w:rsidRPr="0072532F">
        <w:rPr>
          <w:rFonts w:asciiTheme="majorHAnsi" w:hAnsiTheme="majorHAnsi" w:cstheme="majorBidi"/>
          <w:sz w:val="24"/>
          <w:szCs w:val="24"/>
        </w:rPr>
        <w:t>Local authority's efficient performance</w:t>
      </w:r>
    </w:p>
    <w:p w:rsidR="00FE11E1" w:rsidRPr="0072532F" w:rsidRDefault="00FE11E1" w:rsidP="00FE11E1">
      <w:pPr>
        <w:pStyle w:val="ListParagraph"/>
        <w:numPr>
          <w:ilvl w:val="0"/>
          <w:numId w:val="7"/>
        </w:numPr>
        <w:spacing w:line="480" w:lineRule="auto"/>
        <w:rPr>
          <w:rFonts w:asciiTheme="majorHAnsi" w:hAnsiTheme="majorHAnsi" w:cstheme="majorBidi"/>
          <w:sz w:val="24"/>
          <w:szCs w:val="24"/>
        </w:rPr>
      </w:pPr>
      <w:r w:rsidRPr="0072532F">
        <w:rPr>
          <w:rFonts w:asciiTheme="majorHAnsi" w:hAnsiTheme="majorHAnsi" w:cstheme="majorBidi"/>
          <w:sz w:val="24"/>
          <w:szCs w:val="24"/>
        </w:rPr>
        <w:t xml:space="preserve"> The efficiency and effectiveness in revenue collection and expending</w:t>
      </w:r>
    </w:p>
    <w:p w:rsidR="00FE11E1" w:rsidRPr="00FF5DC4" w:rsidRDefault="00FE11E1" w:rsidP="00FE11E1">
      <w:pPr>
        <w:pStyle w:val="ListParagraph"/>
        <w:numPr>
          <w:ilvl w:val="0"/>
          <w:numId w:val="7"/>
        </w:numPr>
        <w:spacing w:line="480" w:lineRule="auto"/>
        <w:rPr>
          <w:rFonts w:asciiTheme="majorHAnsi" w:hAnsiTheme="majorHAnsi" w:cstheme="majorBidi"/>
          <w:b/>
          <w:bCs/>
          <w:sz w:val="24"/>
          <w:szCs w:val="24"/>
        </w:rPr>
      </w:pPr>
      <w:r w:rsidRPr="0072532F">
        <w:rPr>
          <w:rFonts w:asciiTheme="majorHAnsi" w:hAnsiTheme="majorHAnsi" w:cstheme="majorBidi"/>
          <w:sz w:val="24"/>
          <w:szCs w:val="24"/>
        </w:rPr>
        <w:t>Any other basis or criteria set by the Council of Ministers</w:t>
      </w:r>
    </w:p>
    <w:p w:rsidR="00FE11E1" w:rsidRPr="0072532F" w:rsidRDefault="00FE11E1" w:rsidP="00D840FD">
      <w:pPr>
        <w:spacing w:line="480" w:lineRule="auto"/>
        <w:ind w:left="284" w:hanging="284"/>
        <w:rPr>
          <w:rFonts w:asciiTheme="majorHAnsi" w:hAnsiTheme="majorHAnsi" w:cstheme="majorBidi"/>
          <w:b/>
          <w:bCs/>
          <w:sz w:val="24"/>
          <w:szCs w:val="24"/>
        </w:rPr>
      </w:pPr>
      <w:r w:rsidRPr="0072532F">
        <w:rPr>
          <w:rFonts w:asciiTheme="majorHAnsi" w:hAnsiTheme="majorHAnsi" w:cstheme="majorBidi"/>
          <w:b/>
          <w:bCs/>
          <w:sz w:val="24"/>
          <w:szCs w:val="24"/>
        </w:rPr>
        <w:lastRenderedPageBreak/>
        <w:t>Central Authority</w:t>
      </w:r>
    </w:p>
    <w:p w:rsidR="004C0067" w:rsidRDefault="00FE11E1" w:rsidP="004C0067">
      <w:pPr>
        <w:spacing w:line="480" w:lineRule="auto"/>
        <w:ind w:firstLine="709"/>
        <w:rPr>
          <w:rFonts w:asciiTheme="majorHAnsi" w:hAnsiTheme="majorHAnsi" w:cstheme="majorBidi"/>
          <w:sz w:val="24"/>
          <w:szCs w:val="24"/>
        </w:rPr>
      </w:pPr>
      <w:r w:rsidRPr="0072532F">
        <w:rPr>
          <w:rFonts w:asciiTheme="majorHAnsi" w:hAnsiTheme="majorHAnsi" w:cstheme="majorBidi"/>
          <w:sz w:val="24"/>
          <w:szCs w:val="24"/>
        </w:rPr>
        <w:t>With regard</w:t>
      </w:r>
      <w:r w:rsidR="00D840FD">
        <w:rPr>
          <w:rFonts w:asciiTheme="majorHAnsi" w:hAnsiTheme="majorHAnsi" w:cstheme="majorBidi"/>
          <w:sz w:val="24"/>
          <w:szCs w:val="24"/>
        </w:rPr>
        <w:t>s</w:t>
      </w:r>
      <w:r w:rsidRPr="0072532F">
        <w:rPr>
          <w:rFonts w:asciiTheme="majorHAnsi" w:hAnsiTheme="majorHAnsi" w:cstheme="majorBidi"/>
          <w:sz w:val="24"/>
          <w:szCs w:val="24"/>
        </w:rPr>
        <w:t xml:space="preserve"> to the rest of the </w:t>
      </w:r>
      <w:r w:rsidR="00E252F2">
        <w:rPr>
          <w:rFonts w:asciiTheme="majorHAnsi" w:hAnsiTheme="majorHAnsi" w:cstheme="majorBidi"/>
          <w:sz w:val="24"/>
          <w:szCs w:val="24"/>
        </w:rPr>
        <w:t>S</w:t>
      </w:r>
      <w:r w:rsidRPr="0072532F">
        <w:rPr>
          <w:rFonts w:asciiTheme="majorHAnsi" w:hAnsiTheme="majorHAnsi" w:cstheme="majorBidi"/>
          <w:sz w:val="24"/>
          <w:szCs w:val="24"/>
        </w:rPr>
        <w:t xml:space="preserve">tate's own resources, </w:t>
      </w:r>
      <w:r w:rsidR="00D840FD">
        <w:rPr>
          <w:rFonts w:asciiTheme="majorHAnsi" w:hAnsiTheme="majorHAnsi" w:cstheme="majorBidi"/>
          <w:sz w:val="24"/>
          <w:szCs w:val="24"/>
        </w:rPr>
        <w:t xml:space="preserve">they </w:t>
      </w:r>
      <w:r w:rsidRPr="0072532F">
        <w:rPr>
          <w:rFonts w:asciiTheme="majorHAnsi" w:hAnsiTheme="majorHAnsi" w:cstheme="majorBidi"/>
          <w:sz w:val="24"/>
          <w:szCs w:val="24"/>
        </w:rPr>
        <w:t>are regarded as central resources, including:</w:t>
      </w:r>
    </w:p>
    <w:p w:rsidR="00AF7A8D" w:rsidRDefault="00AF7A8D" w:rsidP="00D840FD">
      <w:pPr>
        <w:pStyle w:val="ListParagraph"/>
        <w:numPr>
          <w:ilvl w:val="0"/>
          <w:numId w:val="11"/>
        </w:numPr>
        <w:spacing w:line="480" w:lineRule="auto"/>
        <w:ind w:left="709"/>
        <w:rPr>
          <w:rFonts w:asciiTheme="majorHAnsi" w:hAnsiTheme="majorHAnsi" w:cstheme="majorBidi"/>
          <w:sz w:val="24"/>
          <w:szCs w:val="24"/>
        </w:rPr>
      </w:pPr>
      <w:r>
        <w:rPr>
          <w:rFonts w:asciiTheme="majorHAnsi" w:hAnsiTheme="majorHAnsi" w:cstheme="majorBidi"/>
          <w:sz w:val="24"/>
          <w:szCs w:val="24"/>
        </w:rPr>
        <w:t>Tax</w:t>
      </w:r>
      <w:r w:rsidR="00FE11E1" w:rsidRPr="004C0067">
        <w:rPr>
          <w:rFonts w:asciiTheme="majorHAnsi" w:hAnsiTheme="majorHAnsi" w:cstheme="majorBidi"/>
          <w:sz w:val="24"/>
          <w:szCs w:val="24"/>
        </w:rPr>
        <w:t xml:space="preserve"> on wages and salaries for workers in the stat</w:t>
      </w:r>
      <w:r w:rsidR="004C0067">
        <w:rPr>
          <w:rFonts w:asciiTheme="majorHAnsi" w:hAnsiTheme="majorHAnsi" w:cstheme="majorBidi"/>
          <w:sz w:val="24"/>
          <w:szCs w:val="24"/>
        </w:rPr>
        <w:t xml:space="preserve">e administration and the public </w:t>
      </w:r>
      <w:r w:rsidR="00D840FD">
        <w:rPr>
          <w:rFonts w:asciiTheme="majorHAnsi" w:hAnsiTheme="majorHAnsi" w:cstheme="majorBidi"/>
          <w:sz w:val="24"/>
          <w:szCs w:val="24"/>
        </w:rPr>
        <w:t xml:space="preserve">and </w:t>
      </w:r>
      <w:r w:rsidR="004C0067">
        <w:rPr>
          <w:rFonts w:asciiTheme="majorHAnsi" w:hAnsiTheme="majorHAnsi" w:cstheme="majorBidi"/>
          <w:sz w:val="24"/>
          <w:szCs w:val="24"/>
        </w:rPr>
        <w:t>joint</w:t>
      </w:r>
      <w:r w:rsidR="008A6D20">
        <w:rPr>
          <w:rFonts w:asciiTheme="majorHAnsi" w:hAnsiTheme="majorHAnsi" w:cstheme="majorBidi"/>
          <w:sz w:val="24"/>
          <w:szCs w:val="24"/>
        </w:rPr>
        <w:t xml:space="preserve"> </w:t>
      </w:r>
      <w:r w:rsidR="00D840FD">
        <w:rPr>
          <w:rFonts w:asciiTheme="majorHAnsi" w:hAnsiTheme="majorHAnsi" w:cstheme="majorBidi"/>
          <w:sz w:val="24"/>
          <w:szCs w:val="24"/>
        </w:rPr>
        <w:t>sectors</w:t>
      </w:r>
      <w:r>
        <w:rPr>
          <w:rFonts w:asciiTheme="majorHAnsi" w:hAnsiTheme="majorHAnsi" w:cstheme="majorBidi"/>
          <w:sz w:val="24"/>
          <w:szCs w:val="24"/>
        </w:rPr>
        <w:t>.</w:t>
      </w:r>
    </w:p>
    <w:p w:rsidR="00AF7A8D" w:rsidRDefault="00FE11E1" w:rsidP="00D840FD">
      <w:pPr>
        <w:pStyle w:val="ListParagraph"/>
        <w:numPr>
          <w:ilvl w:val="0"/>
          <w:numId w:val="11"/>
        </w:numPr>
        <w:spacing w:line="480" w:lineRule="auto"/>
        <w:ind w:left="709"/>
        <w:rPr>
          <w:rFonts w:asciiTheme="majorHAnsi" w:hAnsiTheme="majorHAnsi" w:cstheme="majorBidi"/>
          <w:sz w:val="24"/>
          <w:szCs w:val="24"/>
        </w:rPr>
      </w:pPr>
      <w:r w:rsidRPr="004C0067">
        <w:rPr>
          <w:rFonts w:asciiTheme="majorHAnsi" w:hAnsiTheme="majorHAnsi" w:cstheme="majorBidi"/>
          <w:sz w:val="24"/>
          <w:szCs w:val="24"/>
        </w:rPr>
        <w:t xml:space="preserve">Tax on income from </w:t>
      </w:r>
      <w:r w:rsidR="00D840FD">
        <w:rPr>
          <w:rFonts w:asciiTheme="majorHAnsi" w:hAnsiTheme="majorHAnsi" w:cstheme="majorBidi"/>
          <w:sz w:val="24"/>
          <w:szCs w:val="24"/>
        </w:rPr>
        <w:t xml:space="preserve">real estate's </w:t>
      </w:r>
      <w:r w:rsidRPr="004C0067">
        <w:rPr>
          <w:rFonts w:asciiTheme="majorHAnsi" w:hAnsiTheme="majorHAnsi" w:cstheme="majorBidi"/>
          <w:sz w:val="24"/>
          <w:szCs w:val="24"/>
        </w:rPr>
        <w:t xml:space="preserve">dispositions </w:t>
      </w:r>
      <w:r w:rsidR="00D840FD">
        <w:rPr>
          <w:rFonts w:asciiTheme="majorHAnsi" w:hAnsiTheme="majorHAnsi" w:cstheme="majorBidi"/>
          <w:sz w:val="24"/>
          <w:szCs w:val="24"/>
        </w:rPr>
        <w:t xml:space="preserve">and </w:t>
      </w:r>
      <w:r w:rsidRPr="004C0067">
        <w:rPr>
          <w:rFonts w:asciiTheme="majorHAnsi" w:hAnsiTheme="majorHAnsi" w:cstheme="majorBidi"/>
          <w:sz w:val="24"/>
          <w:szCs w:val="24"/>
        </w:rPr>
        <w:t>sales</w:t>
      </w:r>
    </w:p>
    <w:p w:rsidR="00AF7A8D" w:rsidRDefault="00AF7A8D" w:rsidP="00AF7A8D">
      <w:pPr>
        <w:pStyle w:val="ListParagraph"/>
        <w:numPr>
          <w:ilvl w:val="0"/>
          <w:numId w:val="11"/>
        </w:numPr>
        <w:spacing w:line="480" w:lineRule="auto"/>
        <w:ind w:left="709"/>
        <w:rPr>
          <w:rFonts w:asciiTheme="majorHAnsi" w:hAnsiTheme="majorHAnsi" w:cstheme="majorBidi"/>
          <w:sz w:val="24"/>
          <w:szCs w:val="24"/>
        </w:rPr>
      </w:pPr>
      <w:r>
        <w:rPr>
          <w:rFonts w:asciiTheme="majorHAnsi" w:hAnsiTheme="majorHAnsi" w:cstheme="majorBidi"/>
          <w:sz w:val="24"/>
          <w:szCs w:val="24"/>
        </w:rPr>
        <w:t>Tax</w:t>
      </w:r>
      <w:r w:rsidR="00FE11E1" w:rsidRPr="004C0067">
        <w:rPr>
          <w:rFonts w:asciiTheme="majorHAnsi" w:hAnsiTheme="majorHAnsi" w:cstheme="majorBidi"/>
          <w:sz w:val="24"/>
          <w:szCs w:val="24"/>
        </w:rPr>
        <w:t xml:space="preserve"> on corporate income and projects (corpo</w:t>
      </w:r>
      <w:r>
        <w:rPr>
          <w:rFonts w:asciiTheme="majorHAnsi" w:hAnsiTheme="majorHAnsi" w:cstheme="majorBidi"/>
          <w:sz w:val="24"/>
          <w:szCs w:val="24"/>
        </w:rPr>
        <w:t>rate profits and projects).</w:t>
      </w:r>
    </w:p>
    <w:p w:rsidR="00D840FD" w:rsidRDefault="00AF7A8D" w:rsidP="00D840FD">
      <w:pPr>
        <w:pStyle w:val="ListParagraph"/>
        <w:numPr>
          <w:ilvl w:val="0"/>
          <w:numId w:val="11"/>
        </w:numPr>
        <w:spacing w:line="480" w:lineRule="auto"/>
        <w:ind w:left="709"/>
        <w:rPr>
          <w:rFonts w:asciiTheme="majorHAnsi" w:hAnsiTheme="majorHAnsi" w:cstheme="majorBidi"/>
          <w:sz w:val="24"/>
          <w:szCs w:val="24"/>
        </w:rPr>
      </w:pPr>
      <w:r>
        <w:rPr>
          <w:rFonts w:asciiTheme="majorHAnsi" w:hAnsiTheme="majorHAnsi" w:cstheme="majorBidi"/>
          <w:sz w:val="24"/>
          <w:szCs w:val="24"/>
        </w:rPr>
        <w:t>G</w:t>
      </w:r>
      <w:r w:rsidR="00FE11E1" w:rsidRPr="004C0067">
        <w:rPr>
          <w:rFonts w:asciiTheme="majorHAnsi" w:hAnsiTheme="majorHAnsi" w:cstheme="majorBidi"/>
          <w:sz w:val="24"/>
          <w:szCs w:val="24"/>
        </w:rPr>
        <w:t>eneral tax on sales of goods and services (</w:t>
      </w:r>
      <w:r w:rsidR="00FE11E1" w:rsidRPr="00D840FD">
        <w:rPr>
          <w:rFonts w:asciiTheme="majorHAnsi" w:hAnsiTheme="majorHAnsi" w:cstheme="majorBidi"/>
          <w:sz w:val="24"/>
          <w:szCs w:val="24"/>
          <w:u w:val="single"/>
        </w:rPr>
        <w:t xml:space="preserve">with the exception of </w:t>
      </w:r>
      <w:r w:rsidRPr="00D840FD">
        <w:rPr>
          <w:rFonts w:asciiTheme="majorHAnsi" w:hAnsiTheme="majorHAnsi" w:cstheme="majorBidi"/>
          <w:sz w:val="24"/>
          <w:szCs w:val="24"/>
          <w:u w:val="single"/>
        </w:rPr>
        <w:t xml:space="preserve">Qat sales tax, which </w:t>
      </w:r>
      <w:r w:rsidR="00D840FD" w:rsidRPr="00D840FD">
        <w:rPr>
          <w:rFonts w:asciiTheme="majorHAnsi" w:hAnsiTheme="majorHAnsi" w:cstheme="majorBidi"/>
          <w:sz w:val="24"/>
          <w:szCs w:val="24"/>
          <w:u w:val="single"/>
        </w:rPr>
        <w:t>is considered joint public revenues</w:t>
      </w:r>
      <w:r w:rsidR="00FE11E1" w:rsidRPr="004C0067">
        <w:rPr>
          <w:rFonts w:asciiTheme="majorHAnsi" w:hAnsiTheme="majorHAnsi" w:cstheme="majorBidi"/>
          <w:sz w:val="24"/>
          <w:szCs w:val="24"/>
        </w:rPr>
        <w:t>)</w:t>
      </w:r>
    </w:p>
    <w:p w:rsidR="00D840FD" w:rsidRDefault="00D840FD" w:rsidP="00D840FD">
      <w:pPr>
        <w:pStyle w:val="ListParagraph"/>
        <w:numPr>
          <w:ilvl w:val="0"/>
          <w:numId w:val="11"/>
        </w:numPr>
        <w:spacing w:line="480" w:lineRule="auto"/>
        <w:ind w:left="709"/>
        <w:rPr>
          <w:rFonts w:asciiTheme="majorHAnsi" w:hAnsiTheme="majorHAnsi" w:cstheme="majorBidi"/>
          <w:sz w:val="24"/>
          <w:szCs w:val="24"/>
        </w:rPr>
      </w:pPr>
      <w:r>
        <w:rPr>
          <w:rFonts w:asciiTheme="majorHAnsi" w:hAnsiTheme="majorHAnsi" w:cstheme="majorBidi"/>
          <w:sz w:val="24"/>
          <w:szCs w:val="24"/>
        </w:rPr>
        <w:t>T</w:t>
      </w:r>
      <w:r w:rsidR="00FE11E1" w:rsidRPr="004C0067">
        <w:rPr>
          <w:rFonts w:asciiTheme="majorHAnsi" w:hAnsiTheme="majorHAnsi" w:cstheme="majorBidi"/>
          <w:sz w:val="24"/>
          <w:szCs w:val="24"/>
        </w:rPr>
        <w:t>ax on vehicles</w:t>
      </w:r>
    </w:p>
    <w:p w:rsidR="00D840FD" w:rsidRDefault="00D840FD" w:rsidP="00D840FD">
      <w:pPr>
        <w:pStyle w:val="ListParagraph"/>
        <w:numPr>
          <w:ilvl w:val="0"/>
          <w:numId w:val="11"/>
        </w:numPr>
        <w:spacing w:line="480" w:lineRule="auto"/>
        <w:ind w:left="709"/>
        <w:rPr>
          <w:rFonts w:asciiTheme="majorHAnsi" w:hAnsiTheme="majorHAnsi" w:cstheme="majorBidi"/>
          <w:sz w:val="24"/>
          <w:szCs w:val="24"/>
        </w:rPr>
      </w:pPr>
      <w:r>
        <w:rPr>
          <w:rFonts w:asciiTheme="majorHAnsi" w:hAnsiTheme="majorHAnsi" w:cstheme="majorBidi"/>
          <w:sz w:val="24"/>
          <w:szCs w:val="24"/>
        </w:rPr>
        <w:t xml:space="preserve">Fees on import and export </w:t>
      </w:r>
      <w:r w:rsidR="00FE11E1" w:rsidRPr="004C0067">
        <w:rPr>
          <w:rFonts w:asciiTheme="majorHAnsi" w:hAnsiTheme="majorHAnsi" w:cstheme="majorBidi"/>
          <w:sz w:val="24"/>
          <w:szCs w:val="24"/>
        </w:rPr>
        <w:t>license</w:t>
      </w:r>
      <w:r>
        <w:rPr>
          <w:rFonts w:asciiTheme="majorHAnsi" w:hAnsiTheme="majorHAnsi" w:cstheme="majorBidi"/>
          <w:sz w:val="24"/>
          <w:szCs w:val="24"/>
        </w:rPr>
        <w:t>s</w:t>
      </w:r>
    </w:p>
    <w:p w:rsidR="00D840FD" w:rsidRDefault="00FE11E1" w:rsidP="00D840FD">
      <w:pPr>
        <w:pStyle w:val="ListParagraph"/>
        <w:numPr>
          <w:ilvl w:val="0"/>
          <w:numId w:val="11"/>
        </w:numPr>
        <w:spacing w:line="480" w:lineRule="auto"/>
        <w:ind w:left="709"/>
        <w:rPr>
          <w:rFonts w:asciiTheme="majorHAnsi" w:hAnsiTheme="majorHAnsi" w:cstheme="majorBidi"/>
          <w:sz w:val="24"/>
          <w:szCs w:val="24"/>
        </w:rPr>
      </w:pPr>
      <w:r w:rsidRPr="004C0067">
        <w:rPr>
          <w:rFonts w:asciiTheme="majorHAnsi" w:hAnsiTheme="majorHAnsi" w:cstheme="majorBidi"/>
          <w:sz w:val="24"/>
          <w:szCs w:val="24"/>
        </w:rPr>
        <w:t>Fee</w:t>
      </w:r>
      <w:r w:rsidR="00D840FD">
        <w:rPr>
          <w:rFonts w:asciiTheme="majorHAnsi" w:hAnsiTheme="majorHAnsi" w:cstheme="majorBidi"/>
          <w:sz w:val="24"/>
          <w:szCs w:val="24"/>
        </w:rPr>
        <w:t xml:space="preserve">s on </w:t>
      </w:r>
      <w:r w:rsidRPr="004C0067">
        <w:rPr>
          <w:rFonts w:asciiTheme="majorHAnsi" w:hAnsiTheme="majorHAnsi" w:cstheme="majorBidi"/>
          <w:sz w:val="24"/>
          <w:szCs w:val="24"/>
        </w:rPr>
        <w:t>communication</w:t>
      </w:r>
      <w:r w:rsidR="00D840FD">
        <w:rPr>
          <w:rFonts w:asciiTheme="majorHAnsi" w:hAnsiTheme="majorHAnsi" w:cstheme="majorBidi"/>
          <w:sz w:val="24"/>
          <w:szCs w:val="24"/>
        </w:rPr>
        <w:t xml:space="preserve"> and telecommunication </w:t>
      </w:r>
      <w:r w:rsidRPr="004C0067">
        <w:rPr>
          <w:rFonts w:asciiTheme="majorHAnsi" w:hAnsiTheme="majorHAnsi" w:cstheme="majorBidi"/>
          <w:sz w:val="24"/>
          <w:szCs w:val="24"/>
        </w:rPr>
        <w:t>devices</w:t>
      </w:r>
      <w:r w:rsidR="00D840FD">
        <w:rPr>
          <w:rFonts w:asciiTheme="majorHAnsi" w:hAnsiTheme="majorHAnsi" w:cstheme="majorBidi"/>
          <w:sz w:val="24"/>
          <w:szCs w:val="24"/>
        </w:rPr>
        <w:t xml:space="preserve"> that have frequency</w:t>
      </w:r>
    </w:p>
    <w:p w:rsidR="00D840FD" w:rsidRDefault="00FE11E1" w:rsidP="00D840FD">
      <w:pPr>
        <w:pStyle w:val="ListParagraph"/>
        <w:numPr>
          <w:ilvl w:val="0"/>
          <w:numId w:val="11"/>
        </w:numPr>
        <w:spacing w:line="480" w:lineRule="auto"/>
        <w:ind w:left="709"/>
        <w:rPr>
          <w:rFonts w:asciiTheme="majorHAnsi" w:hAnsiTheme="majorHAnsi" w:cstheme="majorBidi"/>
          <w:sz w:val="24"/>
          <w:szCs w:val="24"/>
        </w:rPr>
      </w:pPr>
      <w:r w:rsidRPr="004C0067">
        <w:rPr>
          <w:rFonts w:asciiTheme="majorHAnsi" w:hAnsiTheme="majorHAnsi" w:cstheme="majorBidi"/>
          <w:sz w:val="24"/>
          <w:szCs w:val="24"/>
        </w:rPr>
        <w:t>Taxes on international trade and transactions</w:t>
      </w:r>
    </w:p>
    <w:p w:rsidR="00D840FD" w:rsidRDefault="00D840FD" w:rsidP="00D840FD">
      <w:pPr>
        <w:pStyle w:val="ListParagraph"/>
        <w:numPr>
          <w:ilvl w:val="0"/>
          <w:numId w:val="11"/>
        </w:numPr>
        <w:spacing w:line="480" w:lineRule="auto"/>
        <w:ind w:left="709"/>
        <w:rPr>
          <w:rFonts w:asciiTheme="majorHAnsi" w:hAnsiTheme="majorHAnsi" w:cstheme="majorBidi"/>
          <w:sz w:val="24"/>
          <w:szCs w:val="24"/>
        </w:rPr>
      </w:pPr>
      <w:r w:rsidRPr="00D840FD">
        <w:rPr>
          <w:rFonts w:asciiTheme="majorHAnsi" w:hAnsiTheme="majorHAnsi" w:cstheme="majorBidi"/>
          <w:sz w:val="24"/>
          <w:szCs w:val="24"/>
        </w:rPr>
        <w:t>G</w:t>
      </w:r>
      <w:r w:rsidR="00FE11E1" w:rsidRPr="00D840FD">
        <w:rPr>
          <w:rFonts w:asciiTheme="majorHAnsi" w:hAnsiTheme="majorHAnsi" w:cstheme="majorBidi"/>
          <w:sz w:val="24"/>
          <w:szCs w:val="24"/>
        </w:rPr>
        <w:t>overnment's share</w:t>
      </w:r>
      <w:r w:rsidRPr="00D840FD">
        <w:rPr>
          <w:rFonts w:asciiTheme="majorHAnsi" w:hAnsiTheme="majorHAnsi" w:cstheme="majorBidi"/>
          <w:sz w:val="24"/>
          <w:szCs w:val="24"/>
        </w:rPr>
        <w:t xml:space="preserve"> of public establishments' profit</w:t>
      </w:r>
    </w:p>
    <w:p w:rsidR="00D840FD" w:rsidRDefault="00D840FD" w:rsidP="00D840FD">
      <w:pPr>
        <w:pStyle w:val="ListParagraph"/>
        <w:numPr>
          <w:ilvl w:val="0"/>
          <w:numId w:val="11"/>
        </w:numPr>
        <w:spacing w:line="480" w:lineRule="auto"/>
        <w:ind w:left="709"/>
        <w:rPr>
          <w:rFonts w:asciiTheme="majorHAnsi" w:hAnsiTheme="majorHAnsi" w:cstheme="majorBidi"/>
          <w:sz w:val="24"/>
          <w:szCs w:val="24"/>
        </w:rPr>
      </w:pPr>
      <w:r>
        <w:rPr>
          <w:rFonts w:asciiTheme="majorHAnsi" w:hAnsiTheme="majorHAnsi" w:cstheme="majorBidi"/>
          <w:sz w:val="24"/>
          <w:szCs w:val="24"/>
        </w:rPr>
        <w:t xml:space="preserve"> T</w:t>
      </w:r>
      <w:r w:rsidR="00FE11E1" w:rsidRPr="00D840FD">
        <w:rPr>
          <w:rFonts w:asciiTheme="majorHAnsi" w:hAnsiTheme="majorHAnsi" w:cstheme="majorBidi"/>
          <w:sz w:val="24"/>
          <w:szCs w:val="24"/>
        </w:rPr>
        <w:t>h</w:t>
      </w:r>
      <w:r>
        <w:rPr>
          <w:rFonts w:asciiTheme="majorHAnsi" w:hAnsiTheme="majorHAnsi" w:cstheme="majorBidi"/>
          <w:sz w:val="24"/>
          <w:szCs w:val="24"/>
        </w:rPr>
        <w:t>e proceeds of natural resources such as:</w:t>
      </w:r>
    </w:p>
    <w:p w:rsidR="00D840FD" w:rsidRDefault="00D840FD" w:rsidP="00D840FD">
      <w:pPr>
        <w:pStyle w:val="ListParagraph"/>
        <w:numPr>
          <w:ilvl w:val="1"/>
          <w:numId w:val="11"/>
        </w:numPr>
        <w:spacing w:line="480" w:lineRule="auto"/>
        <w:rPr>
          <w:rFonts w:asciiTheme="majorHAnsi" w:hAnsiTheme="majorHAnsi" w:cstheme="majorBidi"/>
          <w:sz w:val="24"/>
          <w:szCs w:val="24"/>
        </w:rPr>
      </w:pPr>
      <w:r>
        <w:rPr>
          <w:rFonts w:asciiTheme="majorHAnsi" w:hAnsiTheme="majorHAnsi" w:cstheme="majorBidi"/>
          <w:sz w:val="24"/>
          <w:szCs w:val="24"/>
        </w:rPr>
        <w:t>Oil and gas revenues</w:t>
      </w:r>
    </w:p>
    <w:p w:rsidR="00D840FD" w:rsidRDefault="00D840FD" w:rsidP="00D840FD">
      <w:pPr>
        <w:pStyle w:val="ListParagraph"/>
        <w:numPr>
          <w:ilvl w:val="1"/>
          <w:numId w:val="11"/>
        </w:numPr>
        <w:spacing w:line="480" w:lineRule="auto"/>
        <w:rPr>
          <w:rFonts w:asciiTheme="majorHAnsi" w:hAnsiTheme="majorHAnsi" w:cstheme="majorBidi"/>
          <w:sz w:val="24"/>
          <w:szCs w:val="24"/>
        </w:rPr>
      </w:pPr>
      <w:r>
        <w:rPr>
          <w:rFonts w:asciiTheme="majorHAnsi" w:hAnsiTheme="majorHAnsi" w:cstheme="majorBidi"/>
          <w:sz w:val="24"/>
          <w:szCs w:val="24"/>
        </w:rPr>
        <w:t>Fisheries sales revenue</w:t>
      </w:r>
    </w:p>
    <w:p w:rsidR="00D840FD" w:rsidRDefault="00D840FD" w:rsidP="00D840FD">
      <w:pPr>
        <w:pStyle w:val="ListParagraph"/>
        <w:numPr>
          <w:ilvl w:val="0"/>
          <w:numId w:val="11"/>
        </w:numPr>
        <w:spacing w:line="480" w:lineRule="auto"/>
        <w:ind w:left="709"/>
        <w:rPr>
          <w:rFonts w:asciiTheme="majorHAnsi" w:hAnsiTheme="majorHAnsi" w:cstheme="majorBidi"/>
          <w:sz w:val="24"/>
          <w:szCs w:val="24"/>
        </w:rPr>
      </w:pPr>
      <w:r>
        <w:rPr>
          <w:rFonts w:asciiTheme="majorHAnsi" w:hAnsiTheme="majorHAnsi" w:cstheme="majorBidi"/>
          <w:sz w:val="24"/>
          <w:szCs w:val="24"/>
        </w:rPr>
        <w:t>Fees on license plates of transporting vehicles</w:t>
      </w:r>
    </w:p>
    <w:p w:rsidR="00D840FD" w:rsidRDefault="00D840FD" w:rsidP="00D840FD">
      <w:pPr>
        <w:pStyle w:val="ListParagraph"/>
        <w:numPr>
          <w:ilvl w:val="0"/>
          <w:numId w:val="11"/>
        </w:numPr>
        <w:spacing w:line="480" w:lineRule="auto"/>
        <w:ind w:left="709"/>
        <w:rPr>
          <w:rFonts w:asciiTheme="majorHAnsi" w:hAnsiTheme="majorHAnsi" w:cstheme="majorBidi"/>
          <w:sz w:val="24"/>
          <w:szCs w:val="24"/>
        </w:rPr>
      </w:pPr>
      <w:r>
        <w:rPr>
          <w:rFonts w:asciiTheme="majorHAnsi" w:hAnsiTheme="majorHAnsi" w:cstheme="majorBidi"/>
          <w:sz w:val="24"/>
          <w:szCs w:val="24"/>
        </w:rPr>
        <w:t>C</w:t>
      </w:r>
      <w:r w:rsidR="00FE11E1" w:rsidRPr="00D840FD">
        <w:rPr>
          <w:rFonts w:asciiTheme="majorHAnsi" w:hAnsiTheme="majorHAnsi" w:cstheme="majorBidi"/>
          <w:sz w:val="24"/>
          <w:szCs w:val="24"/>
        </w:rPr>
        <w:t>onsular fees</w:t>
      </w:r>
      <w:r>
        <w:rPr>
          <w:rFonts w:asciiTheme="majorHAnsi" w:hAnsiTheme="majorHAnsi" w:cstheme="majorBidi"/>
          <w:sz w:val="24"/>
          <w:szCs w:val="24"/>
        </w:rPr>
        <w:t xml:space="preserve"> (Yemen's embassies in foreign countries)</w:t>
      </w:r>
    </w:p>
    <w:p w:rsidR="00D840FD" w:rsidRDefault="00D840FD" w:rsidP="00D840FD">
      <w:pPr>
        <w:pStyle w:val="ListParagraph"/>
        <w:numPr>
          <w:ilvl w:val="0"/>
          <w:numId w:val="11"/>
        </w:numPr>
        <w:spacing w:line="480" w:lineRule="auto"/>
        <w:ind w:left="709"/>
        <w:rPr>
          <w:rFonts w:asciiTheme="majorHAnsi" w:hAnsiTheme="majorHAnsi" w:cstheme="majorBidi"/>
          <w:sz w:val="24"/>
          <w:szCs w:val="24"/>
        </w:rPr>
      </w:pPr>
      <w:r>
        <w:rPr>
          <w:rFonts w:asciiTheme="majorHAnsi" w:hAnsiTheme="majorHAnsi" w:cstheme="majorBidi"/>
          <w:sz w:val="24"/>
          <w:szCs w:val="24"/>
        </w:rPr>
        <w:t>T</w:t>
      </w:r>
      <w:r w:rsidR="00FE11E1" w:rsidRPr="00D840FD">
        <w:rPr>
          <w:rFonts w:asciiTheme="majorHAnsi" w:hAnsiTheme="majorHAnsi" w:cstheme="majorBidi"/>
          <w:sz w:val="24"/>
          <w:szCs w:val="24"/>
        </w:rPr>
        <w:t xml:space="preserve">he </w:t>
      </w:r>
      <w:r>
        <w:rPr>
          <w:rFonts w:asciiTheme="majorHAnsi" w:hAnsiTheme="majorHAnsi" w:cstheme="majorBidi"/>
          <w:sz w:val="24"/>
          <w:szCs w:val="24"/>
        </w:rPr>
        <w:t xml:space="preserve">sales </w:t>
      </w:r>
      <w:r w:rsidR="00FE11E1" w:rsidRPr="00D840FD">
        <w:rPr>
          <w:rFonts w:asciiTheme="majorHAnsi" w:hAnsiTheme="majorHAnsi" w:cstheme="majorBidi"/>
          <w:sz w:val="24"/>
          <w:szCs w:val="24"/>
        </w:rPr>
        <w:t xml:space="preserve">proceeds of goods and services offered by </w:t>
      </w:r>
      <w:r>
        <w:rPr>
          <w:rFonts w:asciiTheme="majorHAnsi" w:hAnsiTheme="majorHAnsi" w:cstheme="majorBidi"/>
          <w:sz w:val="24"/>
          <w:szCs w:val="24"/>
        </w:rPr>
        <w:t>the headquarters of</w:t>
      </w:r>
      <w:r w:rsidR="00FE11E1" w:rsidRPr="00D840FD">
        <w:rPr>
          <w:rFonts w:asciiTheme="majorHAnsi" w:hAnsiTheme="majorHAnsi" w:cstheme="majorBidi"/>
          <w:sz w:val="24"/>
          <w:szCs w:val="24"/>
        </w:rPr>
        <w:t xml:space="preserve"> ministries and agencies</w:t>
      </w:r>
    </w:p>
    <w:p w:rsidR="00D840FD" w:rsidRDefault="00D840FD" w:rsidP="00D840FD">
      <w:pPr>
        <w:pStyle w:val="ListParagraph"/>
        <w:numPr>
          <w:ilvl w:val="0"/>
          <w:numId w:val="11"/>
        </w:numPr>
        <w:spacing w:line="480" w:lineRule="auto"/>
        <w:ind w:left="709"/>
        <w:rPr>
          <w:rFonts w:asciiTheme="majorHAnsi" w:hAnsiTheme="majorHAnsi" w:cstheme="majorBidi"/>
          <w:sz w:val="24"/>
          <w:szCs w:val="24"/>
        </w:rPr>
      </w:pPr>
      <w:r>
        <w:rPr>
          <w:rFonts w:asciiTheme="majorHAnsi" w:hAnsiTheme="majorHAnsi" w:cstheme="majorBidi"/>
          <w:sz w:val="24"/>
          <w:szCs w:val="24"/>
        </w:rPr>
        <w:t>T</w:t>
      </w:r>
      <w:r w:rsidR="00FE11E1" w:rsidRPr="00D840FD">
        <w:rPr>
          <w:rFonts w:asciiTheme="majorHAnsi" w:hAnsiTheme="majorHAnsi" w:cstheme="majorBidi"/>
          <w:sz w:val="24"/>
          <w:szCs w:val="24"/>
        </w:rPr>
        <w:t xml:space="preserve">he proceeds of fines and penalties imposed on </w:t>
      </w:r>
      <w:r>
        <w:rPr>
          <w:rFonts w:asciiTheme="majorHAnsi" w:hAnsiTheme="majorHAnsi" w:cstheme="majorBidi"/>
          <w:sz w:val="24"/>
          <w:szCs w:val="24"/>
        </w:rPr>
        <w:t>employees in the central authority</w:t>
      </w:r>
    </w:p>
    <w:p w:rsidR="00D840FD" w:rsidRDefault="00D840FD" w:rsidP="00D840FD">
      <w:pPr>
        <w:pStyle w:val="ListParagraph"/>
        <w:numPr>
          <w:ilvl w:val="0"/>
          <w:numId w:val="11"/>
        </w:numPr>
        <w:spacing w:line="480" w:lineRule="auto"/>
        <w:ind w:left="709"/>
        <w:rPr>
          <w:rFonts w:asciiTheme="majorHAnsi" w:hAnsiTheme="majorHAnsi" w:cstheme="majorBidi"/>
          <w:sz w:val="24"/>
          <w:szCs w:val="24"/>
        </w:rPr>
      </w:pPr>
      <w:r>
        <w:rPr>
          <w:rFonts w:asciiTheme="majorHAnsi" w:hAnsiTheme="majorHAnsi" w:cstheme="majorBidi"/>
          <w:sz w:val="24"/>
          <w:szCs w:val="24"/>
        </w:rPr>
        <w:lastRenderedPageBreak/>
        <w:t xml:space="preserve"> The s</w:t>
      </w:r>
      <w:r w:rsidR="00FE11E1" w:rsidRPr="00D840FD">
        <w:rPr>
          <w:rFonts w:asciiTheme="majorHAnsi" w:hAnsiTheme="majorHAnsi" w:cstheme="majorBidi"/>
          <w:sz w:val="24"/>
          <w:szCs w:val="24"/>
        </w:rPr>
        <w:t xml:space="preserve">ales </w:t>
      </w:r>
      <w:r>
        <w:rPr>
          <w:rFonts w:asciiTheme="majorHAnsi" w:hAnsiTheme="majorHAnsi" w:cstheme="majorBidi"/>
          <w:sz w:val="24"/>
          <w:szCs w:val="24"/>
        </w:rPr>
        <w:t>of non financial assets owned by the central authority such as furniture and buildings</w:t>
      </w:r>
    </w:p>
    <w:p w:rsidR="00C96484" w:rsidRDefault="00FE11E1" w:rsidP="0005477E">
      <w:pPr>
        <w:spacing w:line="480" w:lineRule="auto"/>
        <w:ind w:firstLine="709"/>
        <w:rPr>
          <w:rFonts w:asciiTheme="majorHAnsi" w:hAnsiTheme="majorHAnsi" w:cstheme="majorBidi"/>
          <w:sz w:val="24"/>
          <w:szCs w:val="24"/>
        </w:rPr>
      </w:pPr>
      <w:r w:rsidRPr="00D840FD">
        <w:rPr>
          <w:rFonts w:asciiTheme="majorHAnsi" w:hAnsiTheme="majorHAnsi" w:cstheme="majorBidi"/>
          <w:sz w:val="24"/>
          <w:szCs w:val="24"/>
        </w:rPr>
        <w:t xml:space="preserve">Regarding the borrowing, it is not permissible for the local authority </w:t>
      </w:r>
      <w:r w:rsidR="00D840FD">
        <w:rPr>
          <w:rFonts w:asciiTheme="majorHAnsi" w:hAnsiTheme="majorHAnsi" w:cstheme="majorBidi"/>
          <w:sz w:val="24"/>
          <w:szCs w:val="24"/>
        </w:rPr>
        <w:t xml:space="preserve">to borrow </w:t>
      </w:r>
      <w:r w:rsidRPr="00D840FD">
        <w:rPr>
          <w:rFonts w:asciiTheme="majorHAnsi" w:hAnsiTheme="majorHAnsi" w:cstheme="majorBidi"/>
          <w:sz w:val="24"/>
          <w:szCs w:val="24"/>
        </w:rPr>
        <w:t xml:space="preserve">either locally or externally to finance </w:t>
      </w:r>
      <w:r w:rsidR="00D840FD">
        <w:rPr>
          <w:rFonts w:asciiTheme="majorHAnsi" w:hAnsiTheme="majorHAnsi" w:cstheme="majorBidi"/>
          <w:sz w:val="24"/>
          <w:szCs w:val="24"/>
        </w:rPr>
        <w:t>its budget. It cannot also</w:t>
      </w:r>
      <w:r w:rsidRPr="00D840FD">
        <w:rPr>
          <w:rFonts w:asciiTheme="majorHAnsi" w:hAnsiTheme="majorHAnsi" w:cstheme="majorBidi"/>
          <w:sz w:val="24"/>
          <w:szCs w:val="24"/>
        </w:rPr>
        <w:t xml:space="preserve"> enter into any financing agreements </w:t>
      </w:r>
      <w:r w:rsidR="00D840FD">
        <w:rPr>
          <w:rFonts w:asciiTheme="majorHAnsi" w:hAnsiTheme="majorHAnsi" w:cstheme="majorBidi"/>
          <w:sz w:val="24"/>
          <w:szCs w:val="24"/>
        </w:rPr>
        <w:t xml:space="preserve">to fund its </w:t>
      </w:r>
      <w:r w:rsidRPr="00D840FD">
        <w:rPr>
          <w:rFonts w:asciiTheme="majorHAnsi" w:hAnsiTheme="majorHAnsi" w:cstheme="majorBidi"/>
          <w:sz w:val="24"/>
          <w:szCs w:val="24"/>
        </w:rPr>
        <w:t xml:space="preserve">programs </w:t>
      </w:r>
      <w:r w:rsidR="00D840FD">
        <w:rPr>
          <w:rFonts w:asciiTheme="majorHAnsi" w:hAnsiTheme="majorHAnsi" w:cstheme="majorBidi"/>
          <w:sz w:val="24"/>
          <w:szCs w:val="24"/>
        </w:rPr>
        <w:t xml:space="preserve">that are listed </w:t>
      </w:r>
      <w:r w:rsidRPr="00D840FD">
        <w:rPr>
          <w:rFonts w:asciiTheme="majorHAnsi" w:hAnsiTheme="majorHAnsi" w:cstheme="majorBidi"/>
          <w:sz w:val="24"/>
          <w:szCs w:val="24"/>
        </w:rPr>
        <w:t>in their budgets from loans or external grants</w:t>
      </w:r>
      <w:r w:rsidR="00D840FD">
        <w:rPr>
          <w:rFonts w:asciiTheme="majorHAnsi" w:hAnsiTheme="majorHAnsi" w:cstheme="majorBidi"/>
          <w:sz w:val="24"/>
          <w:szCs w:val="24"/>
        </w:rPr>
        <w:t>. External borrowing</w:t>
      </w:r>
      <w:r w:rsidRPr="00D840FD">
        <w:rPr>
          <w:rFonts w:asciiTheme="majorHAnsi" w:hAnsiTheme="majorHAnsi" w:cstheme="majorBidi"/>
          <w:sz w:val="24"/>
          <w:szCs w:val="24"/>
        </w:rPr>
        <w:t xml:space="preserve"> comes within the </w:t>
      </w:r>
      <w:r w:rsidR="00D840FD">
        <w:rPr>
          <w:rFonts w:asciiTheme="majorHAnsi" w:hAnsiTheme="majorHAnsi" w:cstheme="majorBidi"/>
          <w:sz w:val="24"/>
          <w:szCs w:val="24"/>
        </w:rPr>
        <w:t xml:space="preserve">central authority' </w:t>
      </w:r>
      <w:r w:rsidRPr="00D840FD">
        <w:rPr>
          <w:rFonts w:asciiTheme="majorHAnsi" w:hAnsiTheme="majorHAnsi" w:cstheme="majorBidi"/>
          <w:sz w:val="24"/>
          <w:szCs w:val="24"/>
        </w:rPr>
        <w:t xml:space="preserve">framework </w:t>
      </w:r>
      <w:r w:rsidR="00D840FD">
        <w:rPr>
          <w:rFonts w:asciiTheme="majorHAnsi" w:hAnsiTheme="majorHAnsi" w:cstheme="majorBidi"/>
          <w:sz w:val="24"/>
          <w:szCs w:val="24"/>
        </w:rPr>
        <w:t xml:space="preserve">and powers </w:t>
      </w:r>
      <w:r w:rsidR="0005477E">
        <w:rPr>
          <w:rFonts w:asciiTheme="majorHAnsi" w:hAnsiTheme="majorHAnsi" w:cstheme="majorBidi"/>
          <w:sz w:val="24"/>
          <w:szCs w:val="24"/>
        </w:rPr>
        <w:t xml:space="preserve">only. </w:t>
      </w:r>
      <w:r w:rsidR="00D840FD" w:rsidRPr="00C96484">
        <w:rPr>
          <w:rFonts w:asciiTheme="majorHAnsi" w:hAnsiTheme="majorHAnsi" w:cstheme="majorBidi"/>
          <w:sz w:val="24"/>
          <w:szCs w:val="24"/>
        </w:rPr>
        <w:t>The current fiscal system is b</w:t>
      </w:r>
      <w:r w:rsidR="00C96484" w:rsidRPr="00C96484">
        <w:rPr>
          <w:rFonts w:asciiTheme="majorHAnsi" w:hAnsiTheme="majorHAnsi" w:cstheme="majorBidi"/>
          <w:sz w:val="24"/>
          <w:szCs w:val="24"/>
        </w:rPr>
        <w:t>ased on giving power to local authority to manage its internal affairs (i.e. education, health, roads, etc.) in light of the regulations and public polices imposed by the central authority and under its control.</w:t>
      </w:r>
    </w:p>
    <w:p w:rsidR="00760A96" w:rsidRDefault="00760A96" w:rsidP="0005477E">
      <w:pPr>
        <w:spacing w:line="480" w:lineRule="auto"/>
        <w:ind w:firstLine="709"/>
        <w:rPr>
          <w:rFonts w:asciiTheme="majorHAnsi" w:hAnsiTheme="majorHAnsi" w:cstheme="majorBidi"/>
          <w:sz w:val="24"/>
          <w:szCs w:val="24"/>
        </w:rPr>
      </w:pPr>
    </w:p>
    <w:p w:rsidR="002657AE" w:rsidRDefault="00760A96" w:rsidP="00760A96">
      <w:pPr>
        <w:jc w:val="center"/>
        <w:rPr>
          <w:rFonts w:asciiTheme="majorHAnsi" w:hAnsiTheme="majorHAnsi" w:cstheme="majorBidi"/>
          <w:sz w:val="24"/>
          <w:szCs w:val="24"/>
        </w:rPr>
      </w:pPr>
      <w:r>
        <w:rPr>
          <w:rFonts w:asciiTheme="majorHAnsi" w:hAnsiTheme="majorHAnsi" w:cstheme="majorBidi"/>
          <w:sz w:val="24"/>
          <w:szCs w:val="24"/>
        </w:rPr>
        <w:br w:type="page"/>
      </w:r>
    </w:p>
    <w:p w:rsidR="002657AE" w:rsidRDefault="002657AE" w:rsidP="00760A96">
      <w:pPr>
        <w:jc w:val="center"/>
        <w:rPr>
          <w:rFonts w:asciiTheme="majorHAnsi" w:hAnsiTheme="majorHAnsi" w:cstheme="majorBidi"/>
          <w:sz w:val="24"/>
          <w:szCs w:val="24"/>
        </w:rPr>
      </w:pPr>
    </w:p>
    <w:p w:rsidR="002657AE" w:rsidRDefault="002657AE" w:rsidP="00760A96">
      <w:pPr>
        <w:jc w:val="center"/>
        <w:rPr>
          <w:rFonts w:asciiTheme="majorHAnsi" w:hAnsiTheme="majorHAnsi" w:cstheme="majorBidi"/>
          <w:sz w:val="24"/>
          <w:szCs w:val="24"/>
        </w:rPr>
      </w:pPr>
    </w:p>
    <w:p w:rsidR="002657AE" w:rsidRDefault="002657AE" w:rsidP="00760A96">
      <w:pPr>
        <w:jc w:val="center"/>
        <w:rPr>
          <w:rFonts w:asciiTheme="majorHAnsi" w:hAnsiTheme="majorHAnsi" w:cstheme="majorBidi"/>
          <w:sz w:val="24"/>
          <w:szCs w:val="24"/>
        </w:rPr>
      </w:pPr>
    </w:p>
    <w:p w:rsidR="002657AE" w:rsidRDefault="002657AE" w:rsidP="00760A96">
      <w:pPr>
        <w:jc w:val="center"/>
        <w:rPr>
          <w:rFonts w:asciiTheme="majorHAnsi" w:hAnsiTheme="majorHAnsi" w:cstheme="majorBidi"/>
          <w:sz w:val="24"/>
          <w:szCs w:val="24"/>
        </w:rPr>
      </w:pPr>
    </w:p>
    <w:p w:rsidR="002657AE" w:rsidRDefault="002657AE" w:rsidP="00760A96">
      <w:pPr>
        <w:jc w:val="center"/>
        <w:rPr>
          <w:rFonts w:asciiTheme="majorHAnsi" w:hAnsiTheme="majorHAnsi" w:cstheme="majorBidi"/>
          <w:sz w:val="24"/>
          <w:szCs w:val="24"/>
        </w:rPr>
      </w:pPr>
    </w:p>
    <w:p w:rsidR="002657AE" w:rsidRDefault="002657AE" w:rsidP="00760A96">
      <w:pPr>
        <w:jc w:val="center"/>
        <w:rPr>
          <w:rFonts w:asciiTheme="majorHAnsi" w:hAnsiTheme="majorHAnsi" w:cstheme="majorBidi"/>
          <w:sz w:val="24"/>
          <w:szCs w:val="24"/>
        </w:rPr>
      </w:pPr>
    </w:p>
    <w:p w:rsidR="002657AE" w:rsidRDefault="002657AE" w:rsidP="00760A96">
      <w:pPr>
        <w:jc w:val="center"/>
        <w:rPr>
          <w:rFonts w:asciiTheme="majorHAnsi" w:hAnsiTheme="majorHAnsi" w:cstheme="majorBidi"/>
          <w:sz w:val="24"/>
          <w:szCs w:val="24"/>
        </w:rPr>
      </w:pPr>
    </w:p>
    <w:p w:rsidR="002657AE" w:rsidRDefault="002657AE" w:rsidP="00760A96">
      <w:pPr>
        <w:jc w:val="center"/>
        <w:rPr>
          <w:rFonts w:asciiTheme="majorHAnsi" w:hAnsiTheme="majorHAnsi" w:cstheme="majorBidi"/>
          <w:sz w:val="24"/>
          <w:szCs w:val="24"/>
        </w:rPr>
      </w:pPr>
    </w:p>
    <w:p w:rsidR="00760A96" w:rsidRPr="002657AE" w:rsidRDefault="00760A96" w:rsidP="00760A96">
      <w:pPr>
        <w:jc w:val="center"/>
        <w:rPr>
          <w:rFonts w:asciiTheme="majorHAnsi" w:hAnsiTheme="majorHAnsi" w:cstheme="majorBidi"/>
          <w:b/>
          <w:bCs/>
          <w:sz w:val="36"/>
          <w:szCs w:val="36"/>
        </w:rPr>
      </w:pPr>
      <w:r w:rsidRPr="002657AE">
        <w:rPr>
          <w:rFonts w:asciiTheme="majorHAnsi" w:hAnsiTheme="majorHAnsi" w:cstheme="majorBidi"/>
          <w:b/>
          <w:bCs/>
          <w:sz w:val="36"/>
          <w:szCs w:val="36"/>
        </w:rPr>
        <w:t>Financial Analysis of Fiscal Budgets</w:t>
      </w:r>
      <w:r w:rsidR="002657AE">
        <w:rPr>
          <w:rFonts w:asciiTheme="majorHAnsi" w:hAnsiTheme="majorHAnsi" w:cstheme="majorBidi"/>
          <w:b/>
          <w:bCs/>
          <w:sz w:val="36"/>
          <w:szCs w:val="36"/>
        </w:rPr>
        <w:t xml:space="preserve"> </w:t>
      </w:r>
      <w:r w:rsidR="002657AE" w:rsidRPr="002657AE">
        <w:rPr>
          <w:rFonts w:asciiTheme="majorHAnsi" w:hAnsiTheme="majorHAnsi" w:cstheme="majorBidi"/>
          <w:b/>
          <w:bCs/>
          <w:sz w:val="36"/>
          <w:szCs w:val="36"/>
        </w:rPr>
        <w:t>(2007 - 2012)</w:t>
      </w:r>
      <w:r w:rsidR="002657AE">
        <w:rPr>
          <w:rFonts w:asciiTheme="majorHAnsi" w:hAnsiTheme="majorHAnsi" w:cstheme="majorBidi"/>
          <w:b/>
          <w:bCs/>
          <w:sz w:val="36"/>
          <w:szCs w:val="36"/>
        </w:rPr>
        <w:t>:</w:t>
      </w:r>
    </w:p>
    <w:p w:rsidR="009F043E" w:rsidRPr="002657AE" w:rsidRDefault="002657AE" w:rsidP="002657AE">
      <w:pPr>
        <w:pStyle w:val="ListParagraph"/>
        <w:numPr>
          <w:ilvl w:val="0"/>
          <w:numId w:val="15"/>
        </w:numPr>
        <w:ind w:left="2835"/>
        <w:rPr>
          <w:rFonts w:asciiTheme="majorHAnsi" w:hAnsiTheme="majorHAnsi" w:cstheme="majorBidi"/>
          <w:b/>
          <w:bCs/>
          <w:sz w:val="28"/>
          <w:szCs w:val="28"/>
        </w:rPr>
      </w:pPr>
      <w:r w:rsidRPr="002657AE">
        <w:rPr>
          <w:rFonts w:asciiTheme="majorHAnsi" w:hAnsiTheme="majorHAnsi" w:cstheme="majorBidi"/>
          <w:b/>
          <w:bCs/>
          <w:sz w:val="28"/>
          <w:szCs w:val="28"/>
        </w:rPr>
        <w:t>Functional Classifications</w:t>
      </w:r>
    </w:p>
    <w:p w:rsidR="002657AE" w:rsidRDefault="002657AE" w:rsidP="002657AE">
      <w:pPr>
        <w:pStyle w:val="ListParagraph"/>
        <w:numPr>
          <w:ilvl w:val="0"/>
          <w:numId w:val="15"/>
        </w:numPr>
        <w:ind w:left="2835"/>
        <w:rPr>
          <w:rFonts w:asciiTheme="majorHAnsi" w:hAnsiTheme="majorHAnsi" w:cstheme="majorBidi"/>
          <w:b/>
          <w:bCs/>
          <w:sz w:val="28"/>
          <w:szCs w:val="28"/>
        </w:rPr>
      </w:pPr>
      <w:r w:rsidRPr="002657AE">
        <w:rPr>
          <w:rFonts w:asciiTheme="majorHAnsi" w:hAnsiTheme="majorHAnsi" w:cstheme="majorBidi"/>
          <w:b/>
          <w:bCs/>
          <w:sz w:val="28"/>
          <w:szCs w:val="28"/>
        </w:rPr>
        <w:t>Typical Classification</w:t>
      </w:r>
      <w:r w:rsidR="00550F44">
        <w:rPr>
          <w:rFonts w:asciiTheme="majorHAnsi" w:hAnsiTheme="majorHAnsi" w:cstheme="majorBidi"/>
          <w:b/>
          <w:bCs/>
          <w:sz w:val="28"/>
          <w:szCs w:val="28"/>
        </w:rPr>
        <w:t>s</w:t>
      </w:r>
    </w:p>
    <w:p w:rsidR="00550F44" w:rsidRPr="002657AE" w:rsidRDefault="00550F44" w:rsidP="002657AE">
      <w:pPr>
        <w:pStyle w:val="ListParagraph"/>
        <w:numPr>
          <w:ilvl w:val="0"/>
          <w:numId w:val="15"/>
        </w:numPr>
        <w:ind w:left="2835"/>
        <w:rPr>
          <w:rFonts w:asciiTheme="majorHAnsi" w:hAnsiTheme="majorHAnsi" w:cstheme="majorBidi"/>
          <w:b/>
          <w:bCs/>
          <w:sz w:val="28"/>
          <w:szCs w:val="28"/>
        </w:rPr>
      </w:pPr>
      <w:r>
        <w:rPr>
          <w:rFonts w:asciiTheme="majorHAnsi" w:hAnsiTheme="majorHAnsi" w:cstheme="majorBidi"/>
          <w:b/>
          <w:bCs/>
          <w:sz w:val="28"/>
          <w:szCs w:val="28"/>
        </w:rPr>
        <w:t>Local Authority Budget</w:t>
      </w:r>
    </w:p>
    <w:p w:rsidR="002657AE" w:rsidRDefault="002657AE">
      <w:pPr>
        <w:rPr>
          <w:rFonts w:asciiTheme="majorHAnsi" w:hAnsiTheme="majorHAnsi" w:cstheme="majorBidi"/>
          <w:b/>
          <w:bCs/>
          <w:sz w:val="24"/>
          <w:szCs w:val="24"/>
        </w:rPr>
      </w:pPr>
      <w:r>
        <w:rPr>
          <w:rFonts w:asciiTheme="majorHAnsi" w:hAnsiTheme="majorHAnsi" w:cstheme="majorBidi"/>
          <w:b/>
          <w:bCs/>
          <w:sz w:val="24"/>
          <w:szCs w:val="24"/>
        </w:rPr>
        <w:br w:type="page"/>
      </w:r>
    </w:p>
    <w:p w:rsidR="00C81540" w:rsidRPr="002657AE" w:rsidRDefault="00C81540" w:rsidP="00C81540">
      <w:pPr>
        <w:pStyle w:val="ListParagraph"/>
        <w:numPr>
          <w:ilvl w:val="0"/>
          <w:numId w:val="16"/>
        </w:numPr>
        <w:tabs>
          <w:tab w:val="left" w:pos="426"/>
        </w:tabs>
        <w:spacing w:line="240" w:lineRule="auto"/>
        <w:ind w:left="0" w:firstLine="0"/>
        <w:rPr>
          <w:rFonts w:asciiTheme="majorHAnsi" w:hAnsiTheme="majorHAnsi" w:cstheme="majorBidi"/>
          <w:sz w:val="24"/>
          <w:szCs w:val="24"/>
        </w:rPr>
      </w:pPr>
      <w:r w:rsidRPr="002657AE">
        <w:rPr>
          <w:rFonts w:asciiTheme="majorHAnsi" w:hAnsiTheme="majorHAnsi" w:cstheme="majorBidi"/>
          <w:b/>
          <w:bCs/>
          <w:sz w:val="24"/>
          <w:szCs w:val="24"/>
        </w:rPr>
        <w:lastRenderedPageBreak/>
        <w:t>Functional Classifications</w:t>
      </w:r>
      <w:r>
        <w:rPr>
          <w:rFonts w:asciiTheme="majorHAnsi" w:hAnsiTheme="majorHAnsi" w:cstheme="majorBidi"/>
          <w:b/>
          <w:bCs/>
          <w:sz w:val="24"/>
          <w:szCs w:val="24"/>
        </w:rPr>
        <w:t>:</w:t>
      </w:r>
    </w:p>
    <w:p w:rsidR="00C2661C" w:rsidRDefault="00C81540" w:rsidP="000D55F0">
      <w:pPr>
        <w:spacing w:line="480" w:lineRule="auto"/>
        <w:ind w:firstLine="851"/>
        <w:rPr>
          <w:rFonts w:asciiTheme="majorHAnsi" w:hAnsiTheme="majorHAnsi" w:cstheme="majorBidi"/>
          <w:sz w:val="24"/>
          <w:szCs w:val="24"/>
        </w:rPr>
      </w:pPr>
      <w:r>
        <w:rPr>
          <w:rFonts w:asciiTheme="majorHAnsi" w:hAnsiTheme="majorHAnsi" w:cstheme="majorBidi"/>
          <w:sz w:val="24"/>
          <w:szCs w:val="24"/>
        </w:rPr>
        <w:t>According to the functional classifications of the fiscal budgets, Yemen</w:t>
      </w:r>
      <w:r w:rsidR="00781C07">
        <w:rPr>
          <w:rFonts w:asciiTheme="majorHAnsi" w:hAnsiTheme="majorHAnsi" w:cstheme="majorBidi"/>
          <w:sz w:val="24"/>
          <w:szCs w:val="24"/>
        </w:rPr>
        <w:t xml:space="preserve"> </w:t>
      </w:r>
      <w:r>
        <w:rPr>
          <w:rFonts w:asciiTheme="majorHAnsi" w:hAnsiTheme="majorHAnsi" w:cstheme="majorBidi"/>
          <w:sz w:val="24"/>
          <w:szCs w:val="24"/>
        </w:rPr>
        <w:t xml:space="preserve">spends on a 5-year </w:t>
      </w:r>
      <w:r w:rsidR="00A46A06">
        <w:rPr>
          <w:rFonts w:asciiTheme="majorHAnsi" w:hAnsiTheme="majorHAnsi" w:cstheme="majorBidi"/>
          <w:sz w:val="24"/>
          <w:szCs w:val="24"/>
        </w:rPr>
        <w:t xml:space="preserve">historical </w:t>
      </w:r>
      <w:r>
        <w:rPr>
          <w:rFonts w:asciiTheme="majorHAnsi" w:hAnsiTheme="majorHAnsi" w:cstheme="majorBidi"/>
          <w:sz w:val="24"/>
          <w:szCs w:val="24"/>
        </w:rPr>
        <w:t xml:space="preserve">average 62% of total expending on General Public Services (20%), Defense (15%) and Economic Affairs (27%). </w:t>
      </w:r>
      <w:r w:rsidR="00BC723F">
        <w:rPr>
          <w:rFonts w:asciiTheme="majorHAnsi" w:hAnsiTheme="majorHAnsi" w:cstheme="majorBidi"/>
          <w:sz w:val="24"/>
          <w:szCs w:val="24"/>
        </w:rPr>
        <w:t xml:space="preserve">Whereas spending on Environmental Protection, Health, Education and Social Protection combines account for 24% of total expenditures. </w:t>
      </w:r>
    </w:p>
    <w:p w:rsidR="00BC723F" w:rsidRDefault="00BC723F" w:rsidP="004F0008">
      <w:pPr>
        <w:spacing w:line="480" w:lineRule="auto"/>
        <w:rPr>
          <w:rFonts w:asciiTheme="majorHAnsi" w:hAnsiTheme="majorHAnsi" w:cstheme="majorBidi"/>
          <w:sz w:val="24"/>
          <w:szCs w:val="24"/>
        </w:rPr>
      </w:pPr>
      <w:r w:rsidRPr="00BC723F">
        <w:rPr>
          <w:rFonts w:asciiTheme="majorHAnsi" w:hAnsiTheme="majorHAnsi" w:cstheme="majorBidi"/>
          <w:sz w:val="24"/>
          <w:szCs w:val="24"/>
        </w:rPr>
        <w:drawing>
          <wp:inline distT="0" distB="0" distL="0" distR="0">
            <wp:extent cx="5941281" cy="3029447"/>
            <wp:effectExtent l="19050" t="0" r="21369"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1C07" w:rsidRDefault="00781C07" w:rsidP="00F14AA2">
      <w:pPr>
        <w:spacing w:line="480" w:lineRule="auto"/>
        <w:ind w:firstLine="851"/>
        <w:rPr>
          <w:rFonts w:asciiTheme="majorHAnsi" w:hAnsiTheme="majorHAnsi" w:cstheme="majorBidi"/>
          <w:sz w:val="24"/>
          <w:szCs w:val="24"/>
        </w:rPr>
      </w:pPr>
      <w:r>
        <w:rPr>
          <w:rFonts w:asciiTheme="majorHAnsi" w:hAnsiTheme="majorHAnsi" w:cstheme="majorBidi"/>
          <w:sz w:val="24"/>
          <w:szCs w:val="24"/>
        </w:rPr>
        <w:t>General Public Services include most line ministries and central government institutions such as the Presidential Office, the Parliament, the Shora Council, Ministry of Finance and the Cabinet</w:t>
      </w:r>
      <w:r w:rsidR="00CA7355">
        <w:rPr>
          <w:rFonts w:asciiTheme="majorHAnsi" w:hAnsiTheme="majorHAnsi" w:cstheme="majorBidi"/>
          <w:sz w:val="24"/>
          <w:szCs w:val="24"/>
        </w:rPr>
        <w:t xml:space="preserve"> (See Appendix for </w:t>
      </w:r>
      <w:r w:rsidR="000D55F0">
        <w:rPr>
          <w:rFonts w:asciiTheme="majorHAnsi" w:hAnsiTheme="majorHAnsi" w:cstheme="majorBidi"/>
          <w:sz w:val="24"/>
          <w:szCs w:val="24"/>
        </w:rPr>
        <w:t xml:space="preserve">Functions </w:t>
      </w:r>
      <w:r w:rsidR="00CA7355">
        <w:rPr>
          <w:rFonts w:asciiTheme="majorHAnsi" w:hAnsiTheme="majorHAnsi" w:cstheme="majorBidi"/>
          <w:sz w:val="24"/>
          <w:szCs w:val="24"/>
        </w:rPr>
        <w:t>Breakdown)</w:t>
      </w:r>
      <w:r>
        <w:rPr>
          <w:rFonts w:asciiTheme="majorHAnsi" w:hAnsiTheme="majorHAnsi" w:cstheme="majorBidi"/>
          <w:sz w:val="24"/>
          <w:szCs w:val="24"/>
        </w:rPr>
        <w:t xml:space="preserve">. The major expenditure items in this category are the </w:t>
      </w:r>
      <w:r w:rsidR="00765F94">
        <w:rPr>
          <w:rFonts w:asciiTheme="majorHAnsi" w:hAnsiTheme="majorHAnsi" w:cstheme="majorBidi"/>
          <w:sz w:val="24"/>
          <w:szCs w:val="24"/>
        </w:rPr>
        <w:t>central subsidies to local authority (34% of General Public Services) and the</w:t>
      </w:r>
      <w:r>
        <w:rPr>
          <w:rFonts w:asciiTheme="majorHAnsi" w:hAnsiTheme="majorHAnsi" w:cstheme="majorBidi"/>
          <w:sz w:val="24"/>
          <w:szCs w:val="24"/>
        </w:rPr>
        <w:t xml:space="preserve"> Interest Subsidies</w:t>
      </w:r>
      <w:r w:rsidR="00765F94">
        <w:rPr>
          <w:rFonts w:asciiTheme="majorHAnsi" w:hAnsiTheme="majorHAnsi" w:cstheme="majorBidi"/>
          <w:sz w:val="24"/>
          <w:szCs w:val="24"/>
        </w:rPr>
        <w:t>, which account for 37% of General Public Services</w:t>
      </w:r>
      <w:r w:rsidR="00B374C1">
        <w:rPr>
          <w:rFonts w:asciiTheme="majorHAnsi" w:hAnsiTheme="majorHAnsi" w:cstheme="majorBidi"/>
          <w:sz w:val="24"/>
          <w:szCs w:val="24"/>
        </w:rPr>
        <w:t xml:space="preserve"> or</w:t>
      </w:r>
      <w:r>
        <w:rPr>
          <w:rFonts w:asciiTheme="majorHAnsi" w:hAnsiTheme="majorHAnsi" w:cstheme="majorBidi"/>
          <w:sz w:val="24"/>
          <w:szCs w:val="24"/>
        </w:rPr>
        <w:t xml:space="preserve"> </w:t>
      </w:r>
      <w:r w:rsidR="000058A9">
        <w:rPr>
          <w:rFonts w:asciiTheme="majorHAnsi" w:hAnsiTheme="majorHAnsi" w:cstheme="majorBidi"/>
          <w:sz w:val="24"/>
          <w:szCs w:val="24"/>
        </w:rPr>
        <w:t>8.81</w:t>
      </w:r>
      <w:r>
        <w:rPr>
          <w:rFonts w:asciiTheme="majorHAnsi" w:hAnsiTheme="majorHAnsi" w:cstheme="majorBidi"/>
          <w:sz w:val="24"/>
          <w:szCs w:val="24"/>
        </w:rPr>
        <w:t xml:space="preserve">% of </w:t>
      </w:r>
      <w:r w:rsidR="00765F94">
        <w:rPr>
          <w:rFonts w:asciiTheme="majorHAnsi" w:hAnsiTheme="majorHAnsi" w:cstheme="majorBidi"/>
          <w:sz w:val="24"/>
          <w:szCs w:val="24"/>
        </w:rPr>
        <w:t xml:space="preserve">total expending and has been growing at </w:t>
      </w:r>
      <w:r w:rsidR="00F14AA2" w:rsidRPr="0072532F">
        <w:rPr>
          <w:rFonts w:asciiTheme="majorHAnsi" w:hAnsiTheme="majorHAnsi" w:cstheme="majorBidi"/>
          <w:sz w:val="24"/>
          <w:szCs w:val="24"/>
        </w:rPr>
        <w:t xml:space="preserve">33.45% </w:t>
      </w:r>
      <w:r w:rsidR="00765F94">
        <w:rPr>
          <w:rFonts w:asciiTheme="majorHAnsi" w:hAnsiTheme="majorHAnsi" w:cstheme="majorBidi"/>
          <w:sz w:val="24"/>
          <w:szCs w:val="24"/>
        </w:rPr>
        <w:t xml:space="preserve"> since 2007.</w:t>
      </w:r>
    </w:p>
    <w:p w:rsidR="00B374C1" w:rsidRDefault="00B374C1" w:rsidP="00F14AA2">
      <w:pPr>
        <w:spacing w:line="480" w:lineRule="auto"/>
        <w:ind w:firstLine="851"/>
        <w:rPr>
          <w:rFonts w:asciiTheme="majorHAnsi" w:hAnsiTheme="majorHAnsi" w:cstheme="majorBidi"/>
          <w:sz w:val="24"/>
          <w:szCs w:val="24"/>
        </w:rPr>
      </w:pPr>
      <w:r>
        <w:rPr>
          <w:rFonts w:asciiTheme="majorHAnsi" w:hAnsiTheme="majorHAnsi" w:cstheme="majorBidi"/>
          <w:sz w:val="24"/>
          <w:szCs w:val="24"/>
        </w:rPr>
        <w:lastRenderedPageBreak/>
        <w:t xml:space="preserve">While interest payments are increasing dramatically, debt repayments seem to account for only 1% of total spending and growing at less than 14%.  </w:t>
      </w:r>
      <w:r w:rsidR="00642826">
        <w:rPr>
          <w:rFonts w:asciiTheme="majorHAnsi" w:hAnsiTheme="majorHAnsi" w:cstheme="majorBidi"/>
          <w:sz w:val="24"/>
          <w:szCs w:val="24"/>
        </w:rPr>
        <w:t xml:space="preserve">By comparing the weighted averages of these two </w:t>
      </w:r>
      <w:r w:rsidR="00E811AE">
        <w:rPr>
          <w:rFonts w:asciiTheme="majorHAnsi" w:hAnsiTheme="majorHAnsi" w:cstheme="majorBidi"/>
          <w:sz w:val="24"/>
          <w:szCs w:val="24"/>
        </w:rPr>
        <w:t xml:space="preserve">items (their </w:t>
      </w:r>
      <w:r w:rsidR="00642826">
        <w:rPr>
          <w:rFonts w:asciiTheme="majorHAnsi" w:hAnsiTheme="majorHAnsi" w:cstheme="majorBidi"/>
          <w:sz w:val="24"/>
          <w:szCs w:val="24"/>
        </w:rPr>
        <w:t>growth rates and shares of total expending</w:t>
      </w:r>
      <w:r w:rsidR="00E811AE">
        <w:rPr>
          <w:rFonts w:asciiTheme="majorHAnsi" w:hAnsiTheme="majorHAnsi" w:cstheme="majorBidi"/>
          <w:sz w:val="24"/>
          <w:szCs w:val="24"/>
        </w:rPr>
        <w:t>)</w:t>
      </w:r>
      <w:r w:rsidR="00642826">
        <w:rPr>
          <w:rFonts w:asciiTheme="majorHAnsi" w:hAnsiTheme="majorHAnsi" w:cstheme="majorBidi"/>
          <w:sz w:val="24"/>
          <w:szCs w:val="24"/>
        </w:rPr>
        <w:t xml:space="preserve">, </w:t>
      </w:r>
      <w:r w:rsidR="004F0008">
        <w:rPr>
          <w:rFonts w:asciiTheme="majorHAnsi" w:hAnsiTheme="majorHAnsi" w:cstheme="majorBidi"/>
          <w:sz w:val="24"/>
          <w:szCs w:val="24"/>
        </w:rPr>
        <w:t>we will find that interest payments are</w:t>
      </w:r>
      <w:r w:rsidR="000058A9">
        <w:rPr>
          <w:rFonts w:asciiTheme="majorHAnsi" w:hAnsiTheme="majorHAnsi" w:cstheme="majorBidi"/>
          <w:sz w:val="24"/>
          <w:szCs w:val="24"/>
        </w:rPr>
        <w:t xml:space="preserve"> 1</w:t>
      </w:r>
      <w:r w:rsidR="00F14AA2">
        <w:rPr>
          <w:rFonts w:asciiTheme="majorHAnsi" w:hAnsiTheme="majorHAnsi" w:cstheme="majorBidi"/>
          <w:sz w:val="24"/>
          <w:szCs w:val="24"/>
        </w:rPr>
        <w:t>6</w:t>
      </w:r>
      <w:r w:rsidR="000058A9">
        <w:rPr>
          <w:rFonts w:asciiTheme="majorHAnsi" w:hAnsiTheme="majorHAnsi" w:cstheme="majorBidi"/>
          <w:sz w:val="24"/>
          <w:szCs w:val="24"/>
        </w:rPr>
        <w:t xml:space="preserve"> </w:t>
      </w:r>
      <w:r w:rsidR="004F0008">
        <w:rPr>
          <w:rFonts w:asciiTheme="majorHAnsi" w:hAnsiTheme="majorHAnsi" w:cstheme="majorBidi"/>
          <w:sz w:val="24"/>
          <w:szCs w:val="24"/>
        </w:rPr>
        <w:t xml:space="preserve">times </w:t>
      </w:r>
      <w:r w:rsidR="000058A9">
        <w:rPr>
          <w:rFonts w:asciiTheme="majorHAnsi" w:hAnsiTheme="majorHAnsi" w:cstheme="majorBidi"/>
          <w:sz w:val="24"/>
          <w:szCs w:val="24"/>
        </w:rPr>
        <w:t xml:space="preserve">more than </w:t>
      </w:r>
      <w:r w:rsidR="004F0008">
        <w:rPr>
          <w:rFonts w:asciiTheme="majorHAnsi" w:hAnsiTheme="majorHAnsi" w:cstheme="majorBidi"/>
          <w:sz w:val="24"/>
          <w:szCs w:val="24"/>
        </w:rPr>
        <w:t xml:space="preserve">debt repayment. This finding </w:t>
      </w:r>
      <w:r w:rsidR="000058A9">
        <w:rPr>
          <w:rFonts w:asciiTheme="majorHAnsi" w:hAnsiTheme="majorHAnsi" w:cstheme="majorBidi"/>
          <w:sz w:val="24"/>
          <w:szCs w:val="24"/>
        </w:rPr>
        <w:t xml:space="preserve">is a clear indication </w:t>
      </w:r>
      <w:r w:rsidR="004F0008">
        <w:rPr>
          <w:rFonts w:asciiTheme="majorHAnsi" w:hAnsiTheme="majorHAnsi" w:cstheme="majorBidi"/>
          <w:sz w:val="24"/>
          <w:szCs w:val="24"/>
        </w:rPr>
        <w:t xml:space="preserve">that the Yemeni government </w:t>
      </w:r>
      <w:r w:rsidR="000058A9">
        <w:rPr>
          <w:rFonts w:asciiTheme="majorHAnsi" w:hAnsiTheme="majorHAnsi" w:cstheme="majorBidi"/>
          <w:sz w:val="24"/>
          <w:szCs w:val="24"/>
        </w:rPr>
        <w:t xml:space="preserve">is reluctant to have a </w:t>
      </w:r>
      <w:r w:rsidR="004F0008">
        <w:rPr>
          <w:rFonts w:asciiTheme="majorHAnsi" w:hAnsiTheme="majorHAnsi" w:cstheme="majorBidi"/>
          <w:sz w:val="24"/>
          <w:szCs w:val="24"/>
        </w:rPr>
        <w:t>specific public debt policy to reduce the growing burden of interest payments.</w:t>
      </w:r>
      <w:r w:rsidR="00642826">
        <w:rPr>
          <w:rFonts w:asciiTheme="majorHAnsi" w:hAnsiTheme="majorHAnsi" w:cstheme="majorBidi"/>
          <w:sz w:val="24"/>
          <w:szCs w:val="24"/>
        </w:rPr>
        <w:t xml:space="preserve"> </w:t>
      </w:r>
      <w:r>
        <w:rPr>
          <w:rFonts w:asciiTheme="majorHAnsi" w:hAnsiTheme="majorHAnsi" w:cstheme="majorBidi"/>
          <w:sz w:val="24"/>
          <w:szCs w:val="24"/>
        </w:rPr>
        <w:t xml:space="preserve"> </w:t>
      </w:r>
    </w:p>
    <w:p w:rsidR="00CB7E6E" w:rsidRPr="00CB7E6E" w:rsidRDefault="00765F94" w:rsidP="00CB7E6E">
      <w:pPr>
        <w:spacing w:line="480" w:lineRule="auto"/>
        <w:ind w:firstLine="851"/>
        <w:rPr>
          <w:rFonts w:asciiTheme="majorHAnsi" w:hAnsiTheme="majorHAnsi"/>
          <w:sz w:val="24"/>
          <w:szCs w:val="24"/>
        </w:rPr>
      </w:pPr>
      <w:r>
        <w:rPr>
          <w:rFonts w:asciiTheme="majorHAnsi" w:hAnsiTheme="majorHAnsi" w:cstheme="majorBidi"/>
          <w:sz w:val="24"/>
          <w:szCs w:val="24"/>
        </w:rPr>
        <w:t xml:space="preserve">Spending on defense has an average rate of 15% of total expending and growth at an average rate of 2% despite the recent general security challenges in 2010 and 2011.  </w:t>
      </w:r>
      <w:r w:rsidR="002A317D">
        <w:rPr>
          <w:rFonts w:asciiTheme="majorHAnsi" w:hAnsiTheme="majorHAnsi" w:cstheme="majorBidi"/>
          <w:sz w:val="24"/>
          <w:szCs w:val="24"/>
        </w:rPr>
        <w:t xml:space="preserve">Economic Affairs includes seven sub-economic categories in which Fuel &amp; Energy represent 96% of total </w:t>
      </w:r>
      <w:r w:rsidR="009D67B4">
        <w:rPr>
          <w:rFonts w:asciiTheme="majorHAnsi" w:hAnsiTheme="majorHAnsi" w:cstheme="majorBidi"/>
          <w:sz w:val="24"/>
          <w:szCs w:val="24"/>
        </w:rPr>
        <w:t xml:space="preserve">spending on </w:t>
      </w:r>
      <w:r w:rsidR="002A317D">
        <w:rPr>
          <w:rFonts w:asciiTheme="majorHAnsi" w:hAnsiTheme="majorHAnsi" w:cstheme="majorBidi"/>
          <w:sz w:val="24"/>
          <w:szCs w:val="24"/>
        </w:rPr>
        <w:t>Economic Affairs</w:t>
      </w:r>
      <w:r w:rsidR="009D67B4">
        <w:rPr>
          <w:rFonts w:asciiTheme="majorHAnsi" w:hAnsiTheme="majorHAnsi" w:cstheme="majorBidi"/>
          <w:sz w:val="24"/>
          <w:szCs w:val="24"/>
        </w:rPr>
        <w:t>.  This is due to the petroleum subsidies, which account for 88% of total spending on Economic Affairs and growing at 7%</w:t>
      </w:r>
      <w:r w:rsidR="00C01885">
        <w:rPr>
          <w:rFonts w:asciiTheme="majorHAnsi" w:hAnsiTheme="majorHAnsi" w:cstheme="majorBidi"/>
          <w:sz w:val="24"/>
          <w:szCs w:val="24"/>
        </w:rPr>
        <w:t xml:space="preserve"> within this category</w:t>
      </w:r>
      <w:r w:rsidR="00A0370D">
        <w:rPr>
          <w:rFonts w:asciiTheme="majorHAnsi" w:hAnsiTheme="majorHAnsi" w:cstheme="majorBidi"/>
          <w:sz w:val="24"/>
          <w:szCs w:val="24"/>
        </w:rPr>
        <w:t xml:space="preserve"> (or 24% of total spending)</w:t>
      </w:r>
      <w:r w:rsidR="009D67B4">
        <w:rPr>
          <w:rFonts w:asciiTheme="majorHAnsi" w:hAnsiTheme="majorHAnsi" w:cstheme="majorBidi"/>
          <w:sz w:val="24"/>
          <w:szCs w:val="24"/>
        </w:rPr>
        <w:t xml:space="preserve">.  </w:t>
      </w:r>
      <w:r w:rsidR="009D67B4" w:rsidRPr="00527276">
        <w:rPr>
          <w:rFonts w:asciiTheme="majorHAnsi" w:hAnsiTheme="majorHAnsi"/>
          <w:sz w:val="24"/>
          <w:szCs w:val="24"/>
        </w:rPr>
        <w:t xml:space="preserve">The share of the </w:t>
      </w:r>
      <w:r w:rsidR="009D67B4">
        <w:rPr>
          <w:rFonts w:asciiTheme="majorHAnsi" w:hAnsiTheme="majorHAnsi"/>
          <w:sz w:val="24"/>
          <w:szCs w:val="24"/>
        </w:rPr>
        <w:t xml:space="preserve">petroleum </w:t>
      </w:r>
      <w:r w:rsidR="009D67B4" w:rsidRPr="00527276">
        <w:rPr>
          <w:rFonts w:asciiTheme="majorHAnsi" w:hAnsiTheme="majorHAnsi"/>
          <w:sz w:val="24"/>
          <w:szCs w:val="24"/>
        </w:rPr>
        <w:t>subsidy within the category of “</w:t>
      </w:r>
      <w:r w:rsidR="0040736C">
        <w:rPr>
          <w:rFonts w:asciiTheme="majorHAnsi" w:hAnsiTheme="majorHAnsi"/>
          <w:sz w:val="24"/>
          <w:szCs w:val="24"/>
        </w:rPr>
        <w:t>Economic A</w:t>
      </w:r>
      <w:r w:rsidR="009D67B4" w:rsidRPr="00527276">
        <w:rPr>
          <w:rFonts w:asciiTheme="majorHAnsi" w:hAnsiTheme="majorHAnsi"/>
          <w:sz w:val="24"/>
          <w:szCs w:val="24"/>
        </w:rPr>
        <w:t>ffairs” has increased dr</w:t>
      </w:r>
      <w:r w:rsidR="009D67B4">
        <w:rPr>
          <w:rFonts w:asciiTheme="majorHAnsi" w:hAnsiTheme="majorHAnsi"/>
          <w:sz w:val="24"/>
          <w:szCs w:val="24"/>
        </w:rPr>
        <w:t>amatically over the past years</w:t>
      </w:r>
      <w:r w:rsidR="00C01885">
        <w:rPr>
          <w:rFonts w:asciiTheme="majorHAnsi" w:hAnsiTheme="majorHAnsi"/>
          <w:sz w:val="24"/>
          <w:szCs w:val="24"/>
        </w:rPr>
        <w:t xml:space="preserve"> despite </w:t>
      </w:r>
      <w:r w:rsidR="009D67B4">
        <w:rPr>
          <w:rFonts w:asciiTheme="majorHAnsi" w:hAnsiTheme="majorHAnsi"/>
          <w:sz w:val="24"/>
          <w:szCs w:val="24"/>
        </w:rPr>
        <w:t xml:space="preserve"> (see the following table).  </w:t>
      </w:r>
    </w:p>
    <w:tbl>
      <w:tblPr>
        <w:tblW w:w="8940" w:type="dxa"/>
        <w:tblInd w:w="85" w:type="dxa"/>
        <w:tblLook w:val="04A0"/>
      </w:tblPr>
      <w:tblGrid>
        <w:gridCol w:w="2920"/>
        <w:gridCol w:w="1220"/>
        <w:gridCol w:w="960"/>
        <w:gridCol w:w="960"/>
        <w:gridCol w:w="960"/>
        <w:gridCol w:w="960"/>
        <w:gridCol w:w="960"/>
      </w:tblGrid>
      <w:tr w:rsidR="009D67B4" w:rsidRPr="002E02E2" w:rsidTr="00672C83">
        <w:trPr>
          <w:trHeight w:val="330"/>
        </w:trPr>
        <w:tc>
          <w:tcPr>
            <w:tcW w:w="292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rPr>
                <w:rFonts w:ascii="Cambria" w:eastAsia="Times New Roman" w:hAnsi="Cambria" w:cs="Times New Roman"/>
                <w:color w:val="000000"/>
              </w:rPr>
            </w:pPr>
            <w:r w:rsidRPr="002E02E2">
              <w:rPr>
                <w:rFonts w:ascii="Cambria" w:eastAsia="Times New Roman" w:hAnsi="Cambria" w:cs="Times New Roman"/>
                <w:color w:val="000000"/>
              </w:rPr>
              <w:t> </w:t>
            </w:r>
          </w:p>
        </w:tc>
        <w:tc>
          <w:tcPr>
            <w:tcW w:w="1220" w:type="dxa"/>
            <w:tcBorders>
              <w:top w:val="double" w:sz="6" w:space="0" w:color="auto"/>
              <w:left w:val="nil"/>
              <w:bottom w:val="double" w:sz="6" w:space="0" w:color="auto"/>
              <w:right w:val="double" w:sz="6" w:space="0" w:color="auto"/>
            </w:tcBorders>
            <w:shd w:val="clear" w:color="auto" w:fill="auto"/>
            <w:noWrap/>
            <w:vAlign w:val="center"/>
            <w:hideMark/>
          </w:tcPr>
          <w:p w:rsidR="009D67B4" w:rsidRPr="002E02E2" w:rsidRDefault="009D67B4" w:rsidP="00672C83">
            <w:pPr>
              <w:spacing w:after="0" w:line="240" w:lineRule="auto"/>
              <w:jc w:val="center"/>
              <w:rPr>
                <w:rFonts w:ascii="Cambria" w:eastAsia="Times New Roman" w:hAnsi="Cambria" w:cs="Times New Roman"/>
                <w:b/>
                <w:bCs/>
                <w:sz w:val="20"/>
                <w:szCs w:val="20"/>
              </w:rPr>
            </w:pPr>
            <w:r w:rsidRPr="002E02E2">
              <w:rPr>
                <w:rFonts w:ascii="Cambria" w:eastAsia="Times New Roman" w:hAnsi="Cambria" w:cs="Times New Roman"/>
                <w:b/>
                <w:bCs/>
                <w:sz w:val="20"/>
                <w:szCs w:val="20"/>
              </w:rPr>
              <w:t>2007</w:t>
            </w:r>
          </w:p>
        </w:tc>
        <w:tc>
          <w:tcPr>
            <w:tcW w:w="960" w:type="dxa"/>
            <w:tcBorders>
              <w:top w:val="double" w:sz="6" w:space="0" w:color="auto"/>
              <w:left w:val="nil"/>
              <w:bottom w:val="double" w:sz="6" w:space="0" w:color="auto"/>
              <w:right w:val="double" w:sz="6" w:space="0" w:color="auto"/>
            </w:tcBorders>
            <w:shd w:val="clear" w:color="auto" w:fill="auto"/>
            <w:noWrap/>
            <w:vAlign w:val="center"/>
            <w:hideMark/>
          </w:tcPr>
          <w:p w:rsidR="009D67B4" w:rsidRPr="002E02E2" w:rsidRDefault="009D67B4" w:rsidP="00672C83">
            <w:pPr>
              <w:spacing w:after="0" w:line="240" w:lineRule="auto"/>
              <w:jc w:val="center"/>
              <w:rPr>
                <w:rFonts w:ascii="Cambria" w:eastAsia="Times New Roman" w:hAnsi="Cambria" w:cs="Times New Roman"/>
                <w:b/>
                <w:bCs/>
                <w:sz w:val="20"/>
                <w:szCs w:val="20"/>
              </w:rPr>
            </w:pPr>
            <w:r w:rsidRPr="002E02E2">
              <w:rPr>
                <w:rFonts w:ascii="Cambria" w:eastAsia="Times New Roman" w:hAnsi="Cambria" w:cs="Times New Roman"/>
                <w:b/>
                <w:bCs/>
                <w:sz w:val="20"/>
                <w:szCs w:val="20"/>
              </w:rPr>
              <w:t>2008</w:t>
            </w:r>
          </w:p>
        </w:tc>
        <w:tc>
          <w:tcPr>
            <w:tcW w:w="960" w:type="dxa"/>
            <w:tcBorders>
              <w:top w:val="double" w:sz="6" w:space="0" w:color="auto"/>
              <w:left w:val="nil"/>
              <w:bottom w:val="double" w:sz="6" w:space="0" w:color="auto"/>
              <w:right w:val="double" w:sz="6" w:space="0" w:color="auto"/>
            </w:tcBorders>
            <w:shd w:val="clear" w:color="auto" w:fill="auto"/>
            <w:noWrap/>
            <w:vAlign w:val="center"/>
            <w:hideMark/>
          </w:tcPr>
          <w:p w:rsidR="009D67B4" w:rsidRPr="002E02E2" w:rsidRDefault="009D67B4" w:rsidP="00672C83">
            <w:pPr>
              <w:spacing w:after="0" w:line="240" w:lineRule="auto"/>
              <w:jc w:val="center"/>
              <w:rPr>
                <w:rFonts w:ascii="Cambria" w:eastAsia="Times New Roman" w:hAnsi="Cambria" w:cs="Times New Roman"/>
                <w:b/>
                <w:bCs/>
                <w:sz w:val="20"/>
                <w:szCs w:val="20"/>
              </w:rPr>
            </w:pPr>
            <w:r w:rsidRPr="002E02E2">
              <w:rPr>
                <w:rFonts w:ascii="Cambria" w:eastAsia="Times New Roman" w:hAnsi="Cambria" w:cs="Times New Roman"/>
                <w:b/>
                <w:bCs/>
                <w:sz w:val="20"/>
                <w:szCs w:val="20"/>
              </w:rPr>
              <w:t>2009</w:t>
            </w:r>
          </w:p>
        </w:tc>
        <w:tc>
          <w:tcPr>
            <w:tcW w:w="960" w:type="dxa"/>
            <w:tcBorders>
              <w:top w:val="double" w:sz="6" w:space="0" w:color="auto"/>
              <w:left w:val="nil"/>
              <w:bottom w:val="double" w:sz="6" w:space="0" w:color="auto"/>
              <w:right w:val="double" w:sz="6" w:space="0" w:color="auto"/>
            </w:tcBorders>
            <w:shd w:val="clear" w:color="auto" w:fill="auto"/>
            <w:noWrap/>
            <w:vAlign w:val="center"/>
            <w:hideMark/>
          </w:tcPr>
          <w:p w:rsidR="009D67B4" w:rsidRPr="002E02E2" w:rsidRDefault="009D67B4" w:rsidP="00672C83">
            <w:pPr>
              <w:spacing w:after="0" w:line="240" w:lineRule="auto"/>
              <w:jc w:val="center"/>
              <w:rPr>
                <w:rFonts w:ascii="Cambria" w:eastAsia="Times New Roman" w:hAnsi="Cambria" w:cs="Times New Roman"/>
                <w:b/>
                <w:bCs/>
                <w:sz w:val="20"/>
                <w:szCs w:val="20"/>
              </w:rPr>
            </w:pPr>
            <w:r w:rsidRPr="002E02E2">
              <w:rPr>
                <w:rFonts w:ascii="Cambria" w:eastAsia="Times New Roman" w:hAnsi="Cambria" w:cs="Times New Roman"/>
                <w:b/>
                <w:bCs/>
                <w:sz w:val="20"/>
                <w:szCs w:val="20"/>
              </w:rPr>
              <w:t>2010</w:t>
            </w:r>
          </w:p>
        </w:tc>
        <w:tc>
          <w:tcPr>
            <w:tcW w:w="960" w:type="dxa"/>
            <w:tcBorders>
              <w:top w:val="double" w:sz="6" w:space="0" w:color="auto"/>
              <w:left w:val="nil"/>
              <w:bottom w:val="double" w:sz="6" w:space="0" w:color="auto"/>
              <w:right w:val="double" w:sz="6" w:space="0" w:color="auto"/>
            </w:tcBorders>
            <w:shd w:val="clear" w:color="auto" w:fill="auto"/>
            <w:noWrap/>
            <w:vAlign w:val="center"/>
            <w:hideMark/>
          </w:tcPr>
          <w:p w:rsidR="009D67B4" w:rsidRPr="002E02E2" w:rsidRDefault="009D67B4" w:rsidP="00672C83">
            <w:pPr>
              <w:spacing w:after="0" w:line="240" w:lineRule="auto"/>
              <w:jc w:val="center"/>
              <w:rPr>
                <w:rFonts w:ascii="Cambria" w:eastAsia="Times New Roman" w:hAnsi="Cambria" w:cs="Times New Roman"/>
                <w:b/>
                <w:bCs/>
                <w:sz w:val="20"/>
                <w:szCs w:val="20"/>
              </w:rPr>
            </w:pPr>
            <w:r w:rsidRPr="002E02E2">
              <w:rPr>
                <w:rFonts w:ascii="Cambria" w:eastAsia="Times New Roman" w:hAnsi="Cambria" w:cs="Times New Roman"/>
                <w:b/>
                <w:bCs/>
                <w:sz w:val="20"/>
                <w:szCs w:val="20"/>
              </w:rPr>
              <w:t>2011</w:t>
            </w:r>
          </w:p>
        </w:tc>
        <w:tc>
          <w:tcPr>
            <w:tcW w:w="960" w:type="dxa"/>
            <w:tcBorders>
              <w:top w:val="double" w:sz="6" w:space="0" w:color="auto"/>
              <w:left w:val="nil"/>
              <w:bottom w:val="double" w:sz="6" w:space="0" w:color="auto"/>
              <w:right w:val="double" w:sz="6" w:space="0" w:color="auto"/>
            </w:tcBorders>
            <w:shd w:val="clear" w:color="auto" w:fill="auto"/>
            <w:noWrap/>
            <w:vAlign w:val="center"/>
            <w:hideMark/>
          </w:tcPr>
          <w:p w:rsidR="009D67B4" w:rsidRPr="002E02E2" w:rsidRDefault="009D67B4" w:rsidP="00672C83">
            <w:pPr>
              <w:spacing w:after="0" w:line="240" w:lineRule="auto"/>
              <w:jc w:val="center"/>
              <w:rPr>
                <w:rFonts w:ascii="Cambria" w:eastAsia="Times New Roman" w:hAnsi="Cambria" w:cs="Times New Roman"/>
                <w:b/>
                <w:bCs/>
                <w:sz w:val="20"/>
                <w:szCs w:val="20"/>
              </w:rPr>
            </w:pPr>
            <w:r w:rsidRPr="002E02E2">
              <w:rPr>
                <w:rFonts w:ascii="Cambria" w:eastAsia="Times New Roman" w:hAnsi="Cambria" w:cs="Times New Roman"/>
                <w:b/>
                <w:bCs/>
                <w:sz w:val="20"/>
                <w:szCs w:val="20"/>
              </w:rPr>
              <w:t>2012</w:t>
            </w:r>
          </w:p>
        </w:tc>
      </w:tr>
      <w:tr w:rsidR="009D67B4" w:rsidRPr="002E02E2" w:rsidTr="00672C83">
        <w:trPr>
          <w:trHeight w:val="330"/>
        </w:trPr>
        <w:tc>
          <w:tcPr>
            <w:tcW w:w="2920" w:type="dxa"/>
            <w:tcBorders>
              <w:top w:val="nil"/>
              <w:left w:val="double" w:sz="6" w:space="0" w:color="auto"/>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rPr>
                <w:rFonts w:ascii="Cambria" w:eastAsia="Times New Roman" w:hAnsi="Cambria" w:cs="Times New Roman"/>
                <w:b/>
                <w:bCs/>
                <w:color w:val="000000"/>
              </w:rPr>
            </w:pPr>
            <w:r w:rsidRPr="002E02E2">
              <w:rPr>
                <w:rFonts w:ascii="Cambria" w:eastAsia="Times New Roman" w:hAnsi="Cambria" w:cs="Times New Roman"/>
                <w:b/>
                <w:bCs/>
                <w:color w:val="000000"/>
              </w:rPr>
              <w:t>Economic Affairs</w:t>
            </w:r>
          </w:p>
        </w:tc>
        <w:tc>
          <w:tcPr>
            <w:tcW w:w="122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sz w:val="18"/>
                <w:szCs w:val="18"/>
              </w:rPr>
            </w:pPr>
            <w:r w:rsidRPr="002E02E2">
              <w:rPr>
                <w:rFonts w:ascii="Cambria" w:eastAsia="Times New Roman" w:hAnsi="Cambria" w:cs="Times New Roman"/>
                <w:color w:val="000000"/>
                <w:sz w:val="18"/>
                <w:szCs w:val="18"/>
              </w:rPr>
              <w:t>473480</w:t>
            </w:r>
          </w:p>
        </w:tc>
        <w:tc>
          <w:tcPr>
            <w:tcW w:w="96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sz w:val="18"/>
                <w:szCs w:val="18"/>
              </w:rPr>
            </w:pPr>
            <w:r w:rsidRPr="002E02E2">
              <w:rPr>
                <w:rFonts w:ascii="Cambria" w:eastAsia="Times New Roman" w:hAnsi="Cambria" w:cs="Times New Roman"/>
                <w:color w:val="000000"/>
                <w:sz w:val="18"/>
                <w:szCs w:val="18"/>
              </w:rPr>
              <w:t>827244</w:t>
            </w:r>
          </w:p>
        </w:tc>
        <w:tc>
          <w:tcPr>
            <w:tcW w:w="96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sz w:val="18"/>
                <w:szCs w:val="18"/>
              </w:rPr>
            </w:pPr>
            <w:r w:rsidRPr="002E02E2">
              <w:rPr>
                <w:rFonts w:ascii="Cambria" w:eastAsia="Times New Roman" w:hAnsi="Cambria" w:cs="Times New Roman"/>
                <w:color w:val="000000"/>
                <w:sz w:val="18"/>
                <w:szCs w:val="18"/>
              </w:rPr>
              <w:t>496041</w:t>
            </w:r>
          </w:p>
        </w:tc>
        <w:tc>
          <w:tcPr>
            <w:tcW w:w="96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sz w:val="18"/>
                <w:szCs w:val="18"/>
              </w:rPr>
            </w:pPr>
            <w:r w:rsidRPr="002E02E2">
              <w:rPr>
                <w:rFonts w:ascii="Cambria" w:eastAsia="Times New Roman" w:hAnsi="Cambria" w:cs="Times New Roman"/>
                <w:color w:val="000000"/>
                <w:sz w:val="18"/>
                <w:szCs w:val="18"/>
              </w:rPr>
              <w:t>666445</w:t>
            </w:r>
          </w:p>
        </w:tc>
        <w:tc>
          <w:tcPr>
            <w:tcW w:w="96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sz w:val="18"/>
                <w:szCs w:val="18"/>
              </w:rPr>
            </w:pPr>
            <w:r w:rsidRPr="002E02E2">
              <w:rPr>
                <w:rFonts w:ascii="Cambria" w:eastAsia="Times New Roman" w:hAnsi="Cambria" w:cs="Times New Roman"/>
                <w:color w:val="000000"/>
                <w:sz w:val="18"/>
                <w:szCs w:val="18"/>
              </w:rPr>
              <w:t>589941</w:t>
            </w:r>
          </w:p>
        </w:tc>
        <w:tc>
          <w:tcPr>
            <w:tcW w:w="96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sz w:val="18"/>
                <w:szCs w:val="18"/>
              </w:rPr>
            </w:pPr>
            <w:r w:rsidRPr="002E02E2">
              <w:rPr>
                <w:rFonts w:ascii="Cambria" w:eastAsia="Times New Roman" w:hAnsi="Cambria" w:cs="Times New Roman"/>
                <w:color w:val="000000"/>
                <w:sz w:val="18"/>
                <w:szCs w:val="18"/>
              </w:rPr>
              <w:t>389034</w:t>
            </w:r>
          </w:p>
        </w:tc>
      </w:tr>
      <w:tr w:rsidR="009D67B4" w:rsidRPr="002E02E2" w:rsidTr="00672C83">
        <w:trPr>
          <w:trHeight w:val="330"/>
        </w:trPr>
        <w:tc>
          <w:tcPr>
            <w:tcW w:w="2920" w:type="dxa"/>
            <w:tcBorders>
              <w:top w:val="nil"/>
              <w:left w:val="double" w:sz="6" w:space="0" w:color="auto"/>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rPr>
                <w:rFonts w:ascii="Cambria" w:eastAsia="Times New Roman" w:hAnsi="Cambria" w:cs="Times New Roman"/>
                <w:b/>
                <w:bCs/>
                <w:color w:val="000000"/>
              </w:rPr>
            </w:pPr>
            <w:r w:rsidRPr="002E02E2">
              <w:rPr>
                <w:rFonts w:ascii="Cambria" w:eastAsia="Times New Roman" w:hAnsi="Cambria" w:cs="Times New Roman"/>
                <w:b/>
                <w:bCs/>
                <w:color w:val="000000"/>
              </w:rPr>
              <w:t>Petroleum Subsidies Share</w:t>
            </w:r>
          </w:p>
        </w:tc>
        <w:tc>
          <w:tcPr>
            <w:tcW w:w="122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rPr>
            </w:pPr>
            <w:r w:rsidRPr="002E02E2">
              <w:rPr>
                <w:rFonts w:ascii="Cambria" w:eastAsia="Times New Roman" w:hAnsi="Cambria" w:cs="Times New Roman"/>
                <w:color w:val="000000"/>
              </w:rPr>
              <w:t>85%</w:t>
            </w:r>
          </w:p>
        </w:tc>
        <w:tc>
          <w:tcPr>
            <w:tcW w:w="96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rPr>
            </w:pPr>
            <w:r w:rsidRPr="002E02E2">
              <w:rPr>
                <w:rFonts w:ascii="Cambria" w:eastAsia="Times New Roman" w:hAnsi="Cambria" w:cs="Times New Roman"/>
                <w:color w:val="000000"/>
              </w:rPr>
              <w:t>92%</w:t>
            </w:r>
          </w:p>
        </w:tc>
        <w:tc>
          <w:tcPr>
            <w:tcW w:w="96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rPr>
            </w:pPr>
            <w:r w:rsidRPr="002E02E2">
              <w:rPr>
                <w:rFonts w:ascii="Cambria" w:eastAsia="Times New Roman" w:hAnsi="Cambria" w:cs="Times New Roman"/>
                <w:color w:val="000000"/>
              </w:rPr>
              <w:t>79%</w:t>
            </w:r>
          </w:p>
        </w:tc>
        <w:tc>
          <w:tcPr>
            <w:tcW w:w="96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rPr>
            </w:pPr>
            <w:r w:rsidRPr="002E02E2">
              <w:rPr>
                <w:rFonts w:ascii="Cambria" w:eastAsia="Times New Roman" w:hAnsi="Cambria" w:cs="Times New Roman"/>
                <w:color w:val="000000"/>
              </w:rPr>
              <w:t>84%</w:t>
            </w:r>
          </w:p>
        </w:tc>
        <w:tc>
          <w:tcPr>
            <w:tcW w:w="96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rPr>
            </w:pPr>
            <w:r w:rsidRPr="002E02E2">
              <w:rPr>
                <w:rFonts w:ascii="Cambria" w:eastAsia="Times New Roman" w:hAnsi="Cambria" w:cs="Times New Roman"/>
                <w:color w:val="000000"/>
              </w:rPr>
              <w:t>91%</w:t>
            </w:r>
          </w:p>
        </w:tc>
        <w:tc>
          <w:tcPr>
            <w:tcW w:w="960" w:type="dxa"/>
            <w:tcBorders>
              <w:top w:val="nil"/>
              <w:left w:val="nil"/>
              <w:bottom w:val="double" w:sz="6" w:space="0" w:color="auto"/>
              <w:right w:val="double" w:sz="6" w:space="0" w:color="auto"/>
            </w:tcBorders>
            <w:shd w:val="clear" w:color="auto" w:fill="auto"/>
            <w:noWrap/>
            <w:vAlign w:val="bottom"/>
            <w:hideMark/>
          </w:tcPr>
          <w:p w:rsidR="009D67B4" w:rsidRPr="002E02E2" w:rsidRDefault="009D67B4" w:rsidP="00672C83">
            <w:pPr>
              <w:spacing w:after="0" w:line="240" w:lineRule="auto"/>
              <w:jc w:val="center"/>
              <w:rPr>
                <w:rFonts w:ascii="Cambria" w:eastAsia="Times New Roman" w:hAnsi="Cambria" w:cs="Times New Roman"/>
                <w:color w:val="000000"/>
              </w:rPr>
            </w:pPr>
            <w:r w:rsidRPr="002E02E2">
              <w:rPr>
                <w:rFonts w:ascii="Cambria" w:eastAsia="Times New Roman" w:hAnsi="Cambria" w:cs="Times New Roman"/>
                <w:color w:val="000000"/>
              </w:rPr>
              <w:t>98%</w:t>
            </w:r>
          </w:p>
        </w:tc>
      </w:tr>
    </w:tbl>
    <w:p w:rsidR="009D67B4" w:rsidRDefault="009D67B4" w:rsidP="009D67B4">
      <w:pPr>
        <w:tabs>
          <w:tab w:val="left" w:pos="426"/>
        </w:tabs>
        <w:spacing w:line="480" w:lineRule="auto"/>
        <w:ind w:firstLine="709"/>
        <w:rPr>
          <w:rFonts w:asciiTheme="majorHAnsi" w:hAnsiTheme="majorHAnsi" w:cstheme="majorBidi"/>
          <w:sz w:val="24"/>
          <w:szCs w:val="24"/>
        </w:rPr>
      </w:pPr>
    </w:p>
    <w:p w:rsidR="00CB7E6E" w:rsidRDefault="00CB7E6E" w:rsidP="009D67B4">
      <w:pPr>
        <w:tabs>
          <w:tab w:val="left" w:pos="426"/>
        </w:tabs>
        <w:spacing w:line="480" w:lineRule="auto"/>
        <w:ind w:firstLine="709"/>
        <w:rPr>
          <w:rFonts w:asciiTheme="majorHAnsi" w:hAnsiTheme="majorHAnsi" w:cstheme="majorBidi"/>
          <w:sz w:val="24"/>
          <w:szCs w:val="24"/>
        </w:rPr>
      </w:pPr>
      <w:r w:rsidRPr="00527276">
        <w:rPr>
          <w:rFonts w:asciiTheme="majorHAnsi" w:hAnsiTheme="majorHAnsi"/>
          <w:sz w:val="24"/>
          <w:szCs w:val="24"/>
        </w:rPr>
        <w:t xml:space="preserve">This expansion of cost for the petroleum subsidy comes at the expense of other sectors. For example, fiscal resources for social protection </w:t>
      </w:r>
      <w:r>
        <w:rPr>
          <w:rFonts w:asciiTheme="majorHAnsi" w:hAnsiTheme="majorHAnsi"/>
          <w:sz w:val="24"/>
          <w:szCs w:val="24"/>
        </w:rPr>
        <w:t xml:space="preserve">and debt repayment have remained fairly low in comparison to the increasing share of petroleum subsidies. </w:t>
      </w:r>
      <w:r>
        <w:rPr>
          <w:rFonts w:asciiTheme="majorHAnsi" w:hAnsiTheme="majorHAnsi" w:cstheme="majorBidi"/>
          <w:sz w:val="24"/>
          <w:szCs w:val="24"/>
        </w:rPr>
        <w:t xml:space="preserve">Social Protection spending have been less than 3% of total spending except for 2012, when </w:t>
      </w:r>
      <w:r>
        <w:rPr>
          <w:rFonts w:asciiTheme="majorHAnsi" w:hAnsiTheme="majorHAnsi" w:cstheme="majorBidi"/>
          <w:sz w:val="24"/>
          <w:szCs w:val="24"/>
        </w:rPr>
        <w:lastRenderedPageBreak/>
        <w:t xml:space="preserve">spending on Social Protection accounted for 20% of total expending or 907% increase from previous year </w:t>
      </w:r>
      <w:r>
        <w:rPr>
          <w:rFonts w:asciiTheme="majorHAnsi" w:hAnsiTheme="majorHAnsi"/>
          <w:sz w:val="24"/>
          <w:szCs w:val="24"/>
        </w:rPr>
        <w:t>(See Table 2)</w:t>
      </w:r>
      <w:r>
        <w:rPr>
          <w:rFonts w:asciiTheme="majorHAnsi" w:hAnsiTheme="majorHAnsi" w:cstheme="majorBidi"/>
          <w:sz w:val="24"/>
          <w:szCs w:val="24"/>
        </w:rPr>
        <w:t>.</w:t>
      </w:r>
    </w:p>
    <w:p w:rsidR="00CB7E6E" w:rsidRDefault="00A46A06" w:rsidP="00CB7E6E">
      <w:pPr>
        <w:spacing w:line="480" w:lineRule="auto"/>
        <w:ind w:firstLine="851"/>
        <w:rPr>
          <w:rFonts w:asciiTheme="majorHAnsi" w:hAnsiTheme="majorHAnsi" w:cstheme="majorBidi"/>
          <w:sz w:val="24"/>
          <w:szCs w:val="24"/>
        </w:rPr>
      </w:pPr>
      <w:r>
        <w:rPr>
          <w:rFonts w:asciiTheme="majorHAnsi" w:hAnsiTheme="majorHAnsi" w:cstheme="majorBidi"/>
          <w:sz w:val="24"/>
          <w:szCs w:val="24"/>
        </w:rPr>
        <w:t xml:space="preserve">The central and local authorities differ in their </w:t>
      </w:r>
      <w:r w:rsidR="00C277BA">
        <w:rPr>
          <w:rFonts w:asciiTheme="majorHAnsi" w:hAnsiTheme="majorHAnsi" w:cstheme="majorBidi"/>
          <w:sz w:val="24"/>
          <w:szCs w:val="24"/>
        </w:rPr>
        <w:t xml:space="preserve">priorities and </w:t>
      </w:r>
      <w:r>
        <w:rPr>
          <w:rFonts w:asciiTheme="majorHAnsi" w:hAnsiTheme="majorHAnsi" w:cstheme="majorBidi"/>
          <w:sz w:val="24"/>
          <w:szCs w:val="24"/>
        </w:rPr>
        <w:t xml:space="preserve">average spending </w:t>
      </w:r>
      <w:r w:rsidR="00C277BA">
        <w:rPr>
          <w:rFonts w:asciiTheme="majorHAnsi" w:hAnsiTheme="majorHAnsi" w:cstheme="majorBidi"/>
          <w:sz w:val="24"/>
          <w:szCs w:val="24"/>
        </w:rPr>
        <w:t>as it show in the following table</w:t>
      </w:r>
      <w:r w:rsidR="00CB7E6E">
        <w:rPr>
          <w:rFonts w:asciiTheme="majorHAnsi" w:hAnsiTheme="majorHAnsi" w:cstheme="majorBidi"/>
          <w:sz w:val="24"/>
          <w:szCs w:val="24"/>
        </w:rPr>
        <w:t xml:space="preserve"> and chart.</w:t>
      </w:r>
      <w:r w:rsidR="00CB7E6E" w:rsidRPr="00CB7E6E">
        <w:rPr>
          <w:rFonts w:asciiTheme="majorHAnsi" w:hAnsiTheme="majorHAnsi" w:cstheme="majorBidi"/>
          <w:sz w:val="24"/>
          <w:szCs w:val="24"/>
        </w:rPr>
        <w:t xml:space="preserve"> </w:t>
      </w:r>
      <w:r w:rsidR="00CB7E6E">
        <w:rPr>
          <w:rFonts w:asciiTheme="majorHAnsi" w:hAnsiTheme="majorHAnsi" w:cstheme="majorBidi"/>
          <w:sz w:val="24"/>
          <w:szCs w:val="24"/>
        </w:rPr>
        <w:t>Local authority spends 67% of its fiscal budgets on educations and 12% on health in form of salaries and wages</w:t>
      </w:r>
      <w:r w:rsidR="00262747">
        <w:rPr>
          <w:rFonts w:asciiTheme="majorHAnsi" w:hAnsiTheme="majorHAnsi" w:cstheme="majorBidi"/>
          <w:sz w:val="24"/>
          <w:szCs w:val="24"/>
        </w:rPr>
        <w:t xml:space="preserve"> payments</w:t>
      </w:r>
      <w:r w:rsidR="00CB7E6E">
        <w:rPr>
          <w:rFonts w:asciiTheme="majorHAnsi" w:hAnsiTheme="majorHAnsi" w:cstheme="majorBidi"/>
          <w:sz w:val="24"/>
          <w:szCs w:val="24"/>
        </w:rPr>
        <w:t>, which come under Chapter 1 "Compensation of Employees".  Local Authority allocates 77% of its budget to fund this chapter (See Local Authority Budget).</w:t>
      </w:r>
    </w:p>
    <w:tbl>
      <w:tblPr>
        <w:tblW w:w="5556" w:type="dxa"/>
        <w:tblInd w:w="959" w:type="dxa"/>
        <w:tblLook w:val="04A0"/>
      </w:tblPr>
      <w:tblGrid>
        <w:gridCol w:w="3280"/>
        <w:gridCol w:w="1216"/>
        <w:gridCol w:w="1060"/>
      </w:tblGrid>
      <w:tr w:rsidR="00C277BA" w:rsidRPr="00C277BA" w:rsidTr="00C277BA">
        <w:trPr>
          <w:trHeight w:val="660"/>
        </w:trPr>
        <w:tc>
          <w:tcPr>
            <w:tcW w:w="3280" w:type="dxa"/>
            <w:tcBorders>
              <w:top w:val="single" w:sz="8" w:space="0" w:color="auto"/>
              <w:left w:val="single" w:sz="8" w:space="0" w:color="auto"/>
              <w:bottom w:val="single" w:sz="8" w:space="0" w:color="auto"/>
              <w:right w:val="nil"/>
            </w:tcBorders>
            <w:shd w:val="clear" w:color="000000" w:fill="000000"/>
            <w:noWrap/>
            <w:vAlign w:val="center"/>
            <w:hideMark/>
          </w:tcPr>
          <w:p w:rsidR="00C277BA" w:rsidRPr="00C277BA" w:rsidRDefault="00C277BA" w:rsidP="00C277BA">
            <w:pPr>
              <w:spacing w:after="0" w:line="240" w:lineRule="auto"/>
              <w:jc w:val="center"/>
              <w:rPr>
                <w:rFonts w:ascii="Cambria" w:eastAsia="Times New Roman" w:hAnsi="Cambria" w:cs="Times New Roman"/>
                <w:b/>
                <w:bCs/>
                <w:color w:val="FFFFFF"/>
              </w:rPr>
            </w:pPr>
            <w:r w:rsidRPr="00C277BA">
              <w:rPr>
                <w:rFonts w:ascii="Cambria" w:eastAsia="Times New Roman" w:hAnsi="Cambria" w:cs="Times New Roman"/>
                <w:b/>
                <w:bCs/>
                <w:color w:val="FFFFFF"/>
              </w:rPr>
              <w:t>Central Authority Spending</w:t>
            </w:r>
          </w:p>
        </w:tc>
        <w:tc>
          <w:tcPr>
            <w:tcW w:w="1216" w:type="dxa"/>
            <w:tcBorders>
              <w:top w:val="single" w:sz="8" w:space="0" w:color="auto"/>
              <w:left w:val="nil"/>
              <w:bottom w:val="single" w:sz="8" w:space="0" w:color="auto"/>
              <w:right w:val="nil"/>
            </w:tcBorders>
            <w:shd w:val="clear" w:color="000000" w:fill="000000"/>
            <w:vAlign w:val="center"/>
            <w:hideMark/>
          </w:tcPr>
          <w:p w:rsidR="00C277BA" w:rsidRPr="00C277BA" w:rsidRDefault="00C277BA" w:rsidP="00C277BA">
            <w:pPr>
              <w:spacing w:after="0" w:line="240" w:lineRule="auto"/>
              <w:jc w:val="center"/>
              <w:rPr>
                <w:rFonts w:ascii="Cambria" w:eastAsia="Times New Roman" w:hAnsi="Cambria" w:cs="Times New Roman"/>
                <w:color w:val="FFFFFF"/>
              </w:rPr>
            </w:pPr>
            <w:r w:rsidRPr="00C277BA">
              <w:rPr>
                <w:rFonts w:ascii="Cambria" w:eastAsia="Times New Roman" w:hAnsi="Cambria" w:cs="Times New Roman"/>
                <w:color w:val="FFFFFF"/>
              </w:rPr>
              <w:t>% of Total Expending</w:t>
            </w:r>
          </w:p>
        </w:tc>
        <w:tc>
          <w:tcPr>
            <w:tcW w:w="1060" w:type="dxa"/>
            <w:tcBorders>
              <w:top w:val="single" w:sz="8" w:space="0" w:color="auto"/>
              <w:left w:val="single" w:sz="8" w:space="0" w:color="auto"/>
              <w:bottom w:val="single" w:sz="8" w:space="0" w:color="auto"/>
              <w:right w:val="single" w:sz="8" w:space="0" w:color="auto"/>
            </w:tcBorders>
            <w:shd w:val="clear" w:color="000000" w:fill="000000"/>
            <w:vAlign w:val="center"/>
            <w:hideMark/>
          </w:tcPr>
          <w:p w:rsidR="00C277BA" w:rsidRPr="00C277BA" w:rsidRDefault="00C277BA" w:rsidP="00C277BA">
            <w:pPr>
              <w:spacing w:after="0" w:line="240" w:lineRule="auto"/>
              <w:jc w:val="center"/>
              <w:rPr>
                <w:rFonts w:ascii="Cambria" w:eastAsia="Times New Roman" w:hAnsi="Cambria" w:cs="Times New Roman"/>
                <w:color w:val="FFFFFF"/>
              </w:rPr>
            </w:pPr>
            <w:r w:rsidRPr="00C277BA">
              <w:rPr>
                <w:rFonts w:ascii="Cambria" w:eastAsia="Times New Roman" w:hAnsi="Cambria" w:cs="Times New Roman"/>
                <w:color w:val="FFFFFF"/>
              </w:rPr>
              <w:t>Growth Rate</w:t>
            </w:r>
          </w:p>
        </w:tc>
      </w:tr>
      <w:tr w:rsidR="00C277BA" w:rsidRPr="00C277BA" w:rsidTr="00C277BA">
        <w:trPr>
          <w:trHeight w:val="300"/>
        </w:trPr>
        <w:tc>
          <w:tcPr>
            <w:tcW w:w="3280" w:type="dxa"/>
            <w:tcBorders>
              <w:top w:val="nil"/>
              <w:left w:val="single" w:sz="8" w:space="0" w:color="auto"/>
              <w:bottom w:val="double" w:sz="6" w:space="0" w:color="auto"/>
              <w:right w:val="double" w:sz="6" w:space="0" w:color="auto"/>
            </w:tcBorders>
            <w:shd w:val="clear" w:color="auto" w:fill="auto"/>
            <w:vAlign w:val="center"/>
            <w:hideMark/>
          </w:tcPr>
          <w:p w:rsidR="00C277BA" w:rsidRPr="00C277BA" w:rsidRDefault="00C277BA" w:rsidP="00C277BA">
            <w:pPr>
              <w:spacing w:after="0" w:line="240" w:lineRule="auto"/>
              <w:rPr>
                <w:rFonts w:ascii="Cambria" w:eastAsia="Times New Roman" w:hAnsi="Cambria" w:cs="Times New Roman"/>
              </w:rPr>
            </w:pPr>
            <w:r w:rsidRPr="00C277BA">
              <w:rPr>
                <w:rFonts w:ascii="Cambria" w:eastAsia="Times New Roman" w:hAnsi="Cambria" w:cs="Times New Roman"/>
              </w:rPr>
              <w:t>General Public Services of which:</w:t>
            </w:r>
          </w:p>
        </w:tc>
        <w:tc>
          <w:tcPr>
            <w:tcW w:w="1216" w:type="dxa"/>
            <w:tcBorders>
              <w:top w:val="nil"/>
              <w:left w:val="nil"/>
              <w:bottom w:val="double" w:sz="6" w:space="0" w:color="auto"/>
              <w:right w:val="nil"/>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34%</w:t>
            </w:r>
          </w:p>
        </w:tc>
        <w:tc>
          <w:tcPr>
            <w:tcW w:w="1060" w:type="dxa"/>
            <w:tcBorders>
              <w:top w:val="nil"/>
              <w:left w:val="single" w:sz="8" w:space="0" w:color="auto"/>
              <w:bottom w:val="double" w:sz="6" w:space="0" w:color="auto"/>
              <w:right w:val="single" w:sz="8" w:space="0" w:color="auto"/>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9%</w:t>
            </w:r>
          </w:p>
        </w:tc>
      </w:tr>
      <w:tr w:rsidR="00C277BA" w:rsidRPr="00C277BA" w:rsidTr="00C277BA">
        <w:trPr>
          <w:trHeight w:val="315"/>
        </w:trPr>
        <w:tc>
          <w:tcPr>
            <w:tcW w:w="3280" w:type="dxa"/>
            <w:tcBorders>
              <w:top w:val="nil"/>
              <w:left w:val="single" w:sz="8" w:space="0" w:color="auto"/>
              <w:bottom w:val="double" w:sz="6" w:space="0" w:color="auto"/>
              <w:right w:val="double" w:sz="6" w:space="0" w:color="auto"/>
            </w:tcBorders>
            <w:shd w:val="clear" w:color="auto" w:fill="auto"/>
            <w:vAlign w:val="center"/>
            <w:hideMark/>
          </w:tcPr>
          <w:p w:rsidR="00C277BA" w:rsidRPr="00C277BA" w:rsidRDefault="00C277BA" w:rsidP="00C277BA">
            <w:pPr>
              <w:spacing w:after="0" w:line="240" w:lineRule="auto"/>
              <w:rPr>
                <w:rFonts w:ascii="Cambria" w:eastAsia="Times New Roman" w:hAnsi="Cambria" w:cs="Times New Roman"/>
              </w:rPr>
            </w:pPr>
            <w:r w:rsidRPr="00C277BA">
              <w:rPr>
                <w:rFonts w:ascii="Cambria" w:eastAsia="Times New Roman" w:hAnsi="Cambria" w:cs="Times New Roman"/>
              </w:rPr>
              <w:t>Central Subsidies ***</w:t>
            </w:r>
          </w:p>
        </w:tc>
        <w:tc>
          <w:tcPr>
            <w:tcW w:w="1216" w:type="dxa"/>
            <w:tcBorders>
              <w:top w:val="nil"/>
              <w:left w:val="nil"/>
              <w:bottom w:val="double" w:sz="6" w:space="0" w:color="auto"/>
              <w:right w:val="nil"/>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15%</w:t>
            </w:r>
          </w:p>
        </w:tc>
        <w:tc>
          <w:tcPr>
            <w:tcW w:w="1060" w:type="dxa"/>
            <w:tcBorders>
              <w:top w:val="nil"/>
              <w:left w:val="single" w:sz="8" w:space="0" w:color="auto"/>
              <w:bottom w:val="double" w:sz="6" w:space="0" w:color="auto"/>
              <w:right w:val="single" w:sz="8" w:space="0" w:color="auto"/>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11%</w:t>
            </w:r>
          </w:p>
        </w:tc>
      </w:tr>
      <w:tr w:rsidR="00C277BA" w:rsidRPr="00C277BA" w:rsidTr="00C277BA">
        <w:trPr>
          <w:trHeight w:val="315"/>
        </w:trPr>
        <w:tc>
          <w:tcPr>
            <w:tcW w:w="3280" w:type="dxa"/>
            <w:tcBorders>
              <w:top w:val="nil"/>
              <w:left w:val="single" w:sz="8" w:space="0" w:color="auto"/>
              <w:bottom w:val="double" w:sz="6" w:space="0" w:color="auto"/>
              <w:right w:val="double" w:sz="6" w:space="0" w:color="auto"/>
            </w:tcBorders>
            <w:shd w:val="clear" w:color="auto" w:fill="auto"/>
            <w:vAlign w:val="center"/>
            <w:hideMark/>
          </w:tcPr>
          <w:p w:rsidR="00C277BA" w:rsidRPr="00C277BA" w:rsidRDefault="00C277BA" w:rsidP="00C277BA">
            <w:pPr>
              <w:spacing w:after="0" w:line="240" w:lineRule="auto"/>
              <w:rPr>
                <w:rFonts w:ascii="Cambria" w:eastAsia="Times New Roman" w:hAnsi="Cambria" w:cs="Times New Roman"/>
              </w:rPr>
            </w:pPr>
            <w:r w:rsidRPr="00C277BA">
              <w:rPr>
                <w:rFonts w:ascii="Cambria" w:eastAsia="Times New Roman" w:hAnsi="Cambria" w:cs="Times New Roman"/>
              </w:rPr>
              <w:t xml:space="preserve">Economic Affairs </w:t>
            </w:r>
          </w:p>
        </w:tc>
        <w:tc>
          <w:tcPr>
            <w:tcW w:w="1216" w:type="dxa"/>
            <w:tcBorders>
              <w:top w:val="nil"/>
              <w:left w:val="nil"/>
              <w:bottom w:val="double" w:sz="6" w:space="0" w:color="auto"/>
              <w:right w:val="nil"/>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27%</w:t>
            </w:r>
          </w:p>
        </w:tc>
        <w:tc>
          <w:tcPr>
            <w:tcW w:w="1060" w:type="dxa"/>
            <w:tcBorders>
              <w:top w:val="nil"/>
              <w:left w:val="single" w:sz="8" w:space="0" w:color="auto"/>
              <w:bottom w:val="double" w:sz="6" w:space="0" w:color="auto"/>
              <w:right w:val="single" w:sz="8" w:space="0" w:color="auto"/>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-6%</w:t>
            </w:r>
          </w:p>
        </w:tc>
      </w:tr>
      <w:tr w:rsidR="00C277BA" w:rsidRPr="00C277BA" w:rsidTr="00C277BA">
        <w:trPr>
          <w:trHeight w:val="315"/>
        </w:trPr>
        <w:tc>
          <w:tcPr>
            <w:tcW w:w="3280" w:type="dxa"/>
            <w:tcBorders>
              <w:top w:val="nil"/>
              <w:left w:val="single" w:sz="8" w:space="0" w:color="auto"/>
              <w:bottom w:val="nil"/>
              <w:right w:val="double" w:sz="6" w:space="0" w:color="auto"/>
            </w:tcBorders>
            <w:shd w:val="clear" w:color="auto" w:fill="auto"/>
            <w:vAlign w:val="center"/>
            <w:hideMark/>
          </w:tcPr>
          <w:p w:rsidR="00C277BA" w:rsidRPr="00C277BA" w:rsidRDefault="00C277BA" w:rsidP="00C277BA">
            <w:pPr>
              <w:spacing w:after="0" w:line="240" w:lineRule="auto"/>
              <w:rPr>
                <w:rFonts w:ascii="Cambria" w:eastAsia="Times New Roman" w:hAnsi="Cambria" w:cs="Times New Roman"/>
              </w:rPr>
            </w:pPr>
            <w:r w:rsidRPr="00C277BA">
              <w:rPr>
                <w:rFonts w:ascii="Cambria" w:eastAsia="Times New Roman" w:hAnsi="Cambria" w:cs="Times New Roman"/>
              </w:rPr>
              <w:t>Defense</w:t>
            </w:r>
          </w:p>
        </w:tc>
        <w:tc>
          <w:tcPr>
            <w:tcW w:w="1216" w:type="dxa"/>
            <w:tcBorders>
              <w:top w:val="nil"/>
              <w:left w:val="nil"/>
              <w:bottom w:val="nil"/>
              <w:right w:val="nil"/>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15%</w:t>
            </w:r>
          </w:p>
        </w:tc>
        <w:tc>
          <w:tcPr>
            <w:tcW w:w="1060" w:type="dxa"/>
            <w:tcBorders>
              <w:top w:val="nil"/>
              <w:left w:val="single" w:sz="8" w:space="0" w:color="auto"/>
              <w:bottom w:val="nil"/>
              <w:right w:val="single" w:sz="8" w:space="0" w:color="auto"/>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2%</w:t>
            </w:r>
          </w:p>
        </w:tc>
      </w:tr>
      <w:tr w:rsidR="00C277BA" w:rsidRPr="00C277BA" w:rsidTr="00C277BA">
        <w:trPr>
          <w:trHeight w:val="300"/>
        </w:trPr>
        <w:tc>
          <w:tcPr>
            <w:tcW w:w="3280" w:type="dxa"/>
            <w:tcBorders>
              <w:top w:val="single" w:sz="8" w:space="0" w:color="auto"/>
              <w:left w:val="single" w:sz="8" w:space="0" w:color="auto"/>
              <w:bottom w:val="single" w:sz="8" w:space="0" w:color="auto"/>
              <w:right w:val="nil"/>
            </w:tcBorders>
            <w:shd w:val="clear" w:color="000000" w:fill="000000"/>
            <w:vAlign w:val="center"/>
            <w:hideMark/>
          </w:tcPr>
          <w:p w:rsidR="00C277BA" w:rsidRPr="00C277BA" w:rsidRDefault="00C277BA" w:rsidP="00C277BA">
            <w:pPr>
              <w:spacing w:after="0" w:line="240" w:lineRule="auto"/>
              <w:rPr>
                <w:rFonts w:ascii="Cambria" w:eastAsia="Times New Roman" w:hAnsi="Cambria" w:cs="Times New Roman"/>
                <w:b/>
                <w:bCs/>
                <w:color w:val="FFFFFF"/>
              </w:rPr>
            </w:pPr>
            <w:r w:rsidRPr="00C277BA">
              <w:rPr>
                <w:rFonts w:ascii="Cambria" w:eastAsia="Times New Roman" w:hAnsi="Cambria" w:cs="Times New Roman"/>
                <w:b/>
                <w:bCs/>
                <w:color w:val="FFFFFF"/>
              </w:rPr>
              <w:t>Local Authority Spending</w:t>
            </w:r>
          </w:p>
        </w:tc>
        <w:tc>
          <w:tcPr>
            <w:tcW w:w="1216" w:type="dxa"/>
            <w:tcBorders>
              <w:top w:val="single" w:sz="8" w:space="0" w:color="auto"/>
              <w:left w:val="nil"/>
              <w:bottom w:val="single" w:sz="8" w:space="0" w:color="auto"/>
              <w:right w:val="nil"/>
            </w:tcBorders>
            <w:shd w:val="clear" w:color="000000" w:fill="000000"/>
            <w:noWrap/>
            <w:vAlign w:val="center"/>
            <w:hideMark/>
          </w:tcPr>
          <w:p w:rsidR="00C277BA" w:rsidRPr="00C277BA" w:rsidRDefault="00C277BA" w:rsidP="00C277BA">
            <w:pPr>
              <w:spacing w:after="0" w:line="240" w:lineRule="auto"/>
              <w:jc w:val="center"/>
              <w:rPr>
                <w:rFonts w:ascii="Cambria" w:eastAsia="Times New Roman" w:hAnsi="Cambria" w:cs="Times New Roman"/>
                <w:color w:val="FFFFFF"/>
              </w:rPr>
            </w:pPr>
            <w:r w:rsidRPr="00C277BA">
              <w:rPr>
                <w:rFonts w:ascii="Cambria" w:eastAsia="Times New Roman" w:hAnsi="Cambria" w:cs="Times New Roman"/>
                <w:color w:val="FFFFFF"/>
              </w:rPr>
              <w:t> </w:t>
            </w:r>
          </w:p>
        </w:tc>
        <w:tc>
          <w:tcPr>
            <w:tcW w:w="106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 </w:t>
            </w:r>
          </w:p>
        </w:tc>
      </w:tr>
      <w:tr w:rsidR="00C277BA" w:rsidRPr="00C277BA" w:rsidTr="00C277BA">
        <w:trPr>
          <w:trHeight w:val="300"/>
        </w:trPr>
        <w:tc>
          <w:tcPr>
            <w:tcW w:w="3280" w:type="dxa"/>
            <w:tcBorders>
              <w:top w:val="nil"/>
              <w:left w:val="single" w:sz="8" w:space="0" w:color="auto"/>
              <w:bottom w:val="double" w:sz="6" w:space="0" w:color="auto"/>
              <w:right w:val="double" w:sz="6" w:space="0" w:color="auto"/>
            </w:tcBorders>
            <w:shd w:val="clear" w:color="auto" w:fill="auto"/>
            <w:vAlign w:val="center"/>
            <w:hideMark/>
          </w:tcPr>
          <w:p w:rsidR="00C277BA" w:rsidRPr="00C277BA" w:rsidRDefault="00C277BA" w:rsidP="00C277BA">
            <w:pPr>
              <w:spacing w:after="0" w:line="240" w:lineRule="auto"/>
              <w:rPr>
                <w:rFonts w:ascii="Cambria" w:eastAsia="Times New Roman" w:hAnsi="Cambria" w:cs="Times New Roman"/>
              </w:rPr>
            </w:pPr>
            <w:r w:rsidRPr="00C277BA">
              <w:rPr>
                <w:rFonts w:ascii="Cambria" w:eastAsia="Times New Roman" w:hAnsi="Cambria" w:cs="Times New Roman"/>
              </w:rPr>
              <w:t>Education</w:t>
            </w:r>
          </w:p>
        </w:tc>
        <w:tc>
          <w:tcPr>
            <w:tcW w:w="1216" w:type="dxa"/>
            <w:tcBorders>
              <w:top w:val="nil"/>
              <w:left w:val="nil"/>
              <w:bottom w:val="double" w:sz="6" w:space="0" w:color="auto"/>
              <w:right w:val="nil"/>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67%</w:t>
            </w:r>
          </w:p>
        </w:tc>
        <w:tc>
          <w:tcPr>
            <w:tcW w:w="1060" w:type="dxa"/>
            <w:tcBorders>
              <w:top w:val="nil"/>
              <w:left w:val="single" w:sz="8" w:space="0" w:color="auto"/>
              <w:bottom w:val="double" w:sz="6" w:space="0" w:color="auto"/>
              <w:right w:val="single" w:sz="8" w:space="0" w:color="auto"/>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11%</w:t>
            </w:r>
          </w:p>
        </w:tc>
      </w:tr>
      <w:tr w:rsidR="00C277BA" w:rsidRPr="00C277BA" w:rsidTr="00C277BA">
        <w:trPr>
          <w:trHeight w:val="315"/>
        </w:trPr>
        <w:tc>
          <w:tcPr>
            <w:tcW w:w="3280" w:type="dxa"/>
            <w:tcBorders>
              <w:top w:val="nil"/>
              <w:left w:val="single" w:sz="8" w:space="0" w:color="auto"/>
              <w:bottom w:val="single" w:sz="8" w:space="0" w:color="auto"/>
              <w:right w:val="double" w:sz="6" w:space="0" w:color="auto"/>
            </w:tcBorders>
            <w:shd w:val="clear" w:color="auto" w:fill="auto"/>
            <w:vAlign w:val="center"/>
            <w:hideMark/>
          </w:tcPr>
          <w:p w:rsidR="00C277BA" w:rsidRPr="00C277BA" w:rsidRDefault="00C277BA" w:rsidP="00C277BA">
            <w:pPr>
              <w:spacing w:after="0" w:line="240" w:lineRule="auto"/>
              <w:rPr>
                <w:rFonts w:ascii="Cambria" w:eastAsia="Times New Roman" w:hAnsi="Cambria" w:cs="Times New Roman"/>
              </w:rPr>
            </w:pPr>
            <w:r w:rsidRPr="00C277BA">
              <w:rPr>
                <w:rFonts w:ascii="Cambria" w:eastAsia="Times New Roman" w:hAnsi="Cambria" w:cs="Times New Roman"/>
              </w:rPr>
              <w:t>Health</w:t>
            </w:r>
          </w:p>
        </w:tc>
        <w:tc>
          <w:tcPr>
            <w:tcW w:w="1216" w:type="dxa"/>
            <w:tcBorders>
              <w:top w:val="nil"/>
              <w:left w:val="nil"/>
              <w:bottom w:val="single" w:sz="8" w:space="0" w:color="auto"/>
              <w:right w:val="nil"/>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12%</w:t>
            </w: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C277BA" w:rsidRPr="00C277BA" w:rsidRDefault="00C277BA" w:rsidP="00C277BA">
            <w:pPr>
              <w:spacing w:after="0" w:line="240" w:lineRule="auto"/>
              <w:jc w:val="center"/>
              <w:rPr>
                <w:rFonts w:ascii="Cambria" w:eastAsia="Times New Roman" w:hAnsi="Cambria" w:cs="Times New Roman"/>
                <w:color w:val="000000"/>
              </w:rPr>
            </w:pPr>
            <w:r w:rsidRPr="00C277BA">
              <w:rPr>
                <w:rFonts w:ascii="Cambria" w:eastAsia="Times New Roman" w:hAnsi="Cambria" w:cs="Times New Roman"/>
                <w:color w:val="000000"/>
              </w:rPr>
              <w:t>9%</w:t>
            </w:r>
          </w:p>
        </w:tc>
      </w:tr>
    </w:tbl>
    <w:p w:rsidR="00CB7E6E" w:rsidRDefault="00CB7E6E" w:rsidP="009164D2">
      <w:pPr>
        <w:spacing w:line="480" w:lineRule="auto"/>
        <w:ind w:firstLine="851"/>
        <w:rPr>
          <w:rFonts w:asciiTheme="majorHAnsi" w:hAnsiTheme="majorHAnsi" w:cstheme="majorBidi"/>
          <w:sz w:val="24"/>
          <w:szCs w:val="24"/>
        </w:rPr>
      </w:pPr>
    </w:p>
    <w:p w:rsidR="00CB7E6E" w:rsidRDefault="00CB7E6E" w:rsidP="0084203C">
      <w:pPr>
        <w:spacing w:line="480" w:lineRule="auto"/>
        <w:rPr>
          <w:rFonts w:asciiTheme="majorHAnsi" w:hAnsiTheme="majorHAnsi" w:cstheme="majorBidi"/>
          <w:sz w:val="24"/>
          <w:szCs w:val="24"/>
        </w:rPr>
      </w:pPr>
      <w:r w:rsidRPr="00CB7E6E">
        <w:rPr>
          <w:rFonts w:asciiTheme="majorHAnsi" w:hAnsiTheme="majorHAnsi" w:cstheme="majorBidi"/>
          <w:sz w:val="24"/>
          <w:szCs w:val="24"/>
        </w:rPr>
        <w:lastRenderedPageBreak/>
        <w:drawing>
          <wp:inline distT="0" distB="0" distL="0" distR="0">
            <wp:extent cx="5750449" cy="3816626"/>
            <wp:effectExtent l="19050" t="0" r="21701"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7E6E" w:rsidRDefault="00CB7E6E" w:rsidP="009164D2">
      <w:pPr>
        <w:spacing w:line="480" w:lineRule="auto"/>
        <w:ind w:firstLine="851"/>
        <w:rPr>
          <w:rFonts w:asciiTheme="majorHAnsi" w:hAnsiTheme="majorHAnsi" w:cstheme="majorBidi"/>
          <w:sz w:val="24"/>
          <w:szCs w:val="24"/>
        </w:rPr>
      </w:pPr>
      <w:r>
        <w:rPr>
          <w:rFonts w:asciiTheme="majorHAnsi" w:hAnsiTheme="majorHAnsi" w:cstheme="majorBidi"/>
          <w:sz w:val="24"/>
          <w:szCs w:val="24"/>
        </w:rPr>
        <w:t xml:space="preserve">Central authority assumes the payments for prime mutual services and benefits between central and local beneficiaries. Spending on Petroleum subsidies, </w:t>
      </w:r>
      <w:r w:rsidR="00A54555">
        <w:rPr>
          <w:rFonts w:asciiTheme="majorHAnsi" w:hAnsiTheme="majorHAnsi" w:cstheme="majorBidi"/>
          <w:sz w:val="24"/>
          <w:szCs w:val="24"/>
        </w:rPr>
        <w:t>Interest Payments, Defense and centrally owned units with local benefits (i.e. universities and hospitals) is considered mutual public spending and comes under the responsibility of central authority.  As a result, central authority spends 91% of total spending on these mutual services and benefits.</w:t>
      </w:r>
    </w:p>
    <w:p w:rsidR="0049699C" w:rsidRPr="008031C8" w:rsidRDefault="004F3316" w:rsidP="009F043E">
      <w:pPr>
        <w:ind w:left="-851"/>
        <w:rPr>
          <w:rFonts w:asciiTheme="majorHAnsi" w:hAnsiTheme="majorHAnsi" w:cstheme="majorBidi"/>
          <w:b/>
          <w:bCs/>
          <w:sz w:val="24"/>
          <w:szCs w:val="24"/>
        </w:rPr>
      </w:pPr>
      <w:r>
        <w:rPr>
          <w:rFonts w:asciiTheme="majorHAnsi" w:hAnsiTheme="majorHAnsi" w:cstheme="majorBidi"/>
          <w:b/>
          <w:bCs/>
          <w:sz w:val="24"/>
          <w:szCs w:val="24"/>
        </w:rPr>
        <w:t xml:space="preserve">Table 2: </w:t>
      </w:r>
      <w:r w:rsidR="0049699C" w:rsidRPr="008031C8">
        <w:rPr>
          <w:rFonts w:asciiTheme="majorHAnsi" w:hAnsiTheme="majorHAnsi" w:cstheme="majorBidi"/>
          <w:b/>
          <w:bCs/>
          <w:sz w:val="24"/>
          <w:szCs w:val="24"/>
        </w:rPr>
        <w:t xml:space="preserve">Functional Classifications </w:t>
      </w:r>
      <w:r w:rsidR="00A74199" w:rsidRPr="008031C8">
        <w:rPr>
          <w:rFonts w:asciiTheme="majorHAnsi" w:hAnsiTheme="majorHAnsi" w:cstheme="majorBidi"/>
          <w:b/>
          <w:bCs/>
          <w:sz w:val="24"/>
          <w:szCs w:val="24"/>
        </w:rPr>
        <w:t xml:space="preserve">of Expenditures </w:t>
      </w:r>
      <w:r w:rsidR="0049699C" w:rsidRPr="008031C8">
        <w:rPr>
          <w:rFonts w:asciiTheme="majorHAnsi" w:hAnsiTheme="majorHAnsi" w:cstheme="majorBidi"/>
          <w:b/>
          <w:bCs/>
          <w:sz w:val="24"/>
          <w:szCs w:val="24"/>
        </w:rPr>
        <w:t xml:space="preserve">by Main Groups </w:t>
      </w:r>
      <w:r w:rsidR="0049699C" w:rsidRPr="008031C8">
        <w:rPr>
          <w:rFonts w:asciiTheme="majorHAnsi" w:hAnsiTheme="majorHAnsi" w:cstheme="majorBidi"/>
          <w:b/>
          <w:bCs/>
          <w:sz w:val="20"/>
          <w:szCs w:val="20"/>
        </w:rPr>
        <w:t>(In Millions of YR)</w:t>
      </w:r>
    </w:p>
    <w:tbl>
      <w:tblPr>
        <w:tblW w:w="16135" w:type="dxa"/>
        <w:tblInd w:w="-1168" w:type="dxa"/>
        <w:tblLayout w:type="fixed"/>
        <w:tblLook w:val="04A0"/>
      </w:tblPr>
      <w:tblGrid>
        <w:gridCol w:w="1560"/>
        <w:gridCol w:w="850"/>
        <w:gridCol w:w="851"/>
        <w:gridCol w:w="850"/>
        <w:gridCol w:w="851"/>
        <w:gridCol w:w="850"/>
        <w:gridCol w:w="217"/>
        <w:gridCol w:w="634"/>
        <w:gridCol w:w="214"/>
        <w:gridCol w:w="353"/>
        <w:gridCol w:w="850"/>
        <w:gridCol w:w="349"/>
        <w:gridCol w:w="360"/>
        <w:gridCol w:w="359"/>
        <w:gridCol w:w="16"/>
        <w:gridCol w:w="334"/>
        <w:gridCol w:w="335"/>
        <w:gridCol w:w="374"/>
        <w:gridCol w:w="367"/>
        <w:gridCol w:w="222"/>
        <w:gridCol w:w="119"/>
        <w:gridCol w:w="281"/>
        <w:gridCol w:w="120"/>
        <w:gridCol w:w="166"/>
        <w:gridCol w:w="197"/>
        <w:gridCol w:w="39"/>
        <w:gridCol w:w="38"/>
        <w:gridCol w:w="293"/>
        <w:gridCol w:w="141"/>
        <w:gridCol w:w="377"/>
        <w:gridCol w:w="130"/>
        <w:gridCol w:w="306"/>
        <w:gridCol w:w="541"/>
        <w:gridCol w:w="306"/>
        <w:gridCol w:w="541"/>
        <w:gridCol w:w="352"/>
        <w:gridCol w:w="495"/>
        <w:gridCol w:w="897"/>
      </w:tblGrid>
      <w:tr w:rsidR="00B521F8" w:rsidRPr="00B521F8" w:rsidTr="00B521F8">
        <w:trPr>
          <w:gridAfter w:val="11"/>
          <w:wAfter w:w="4379" w:type="dxa"/>
          <w:trHeight w:val="300"/>
        </w:trPr>
        <w:tc>
          <w:tcPr>
            <w:tcW w:w="1560" w:type="dxa"/>
            <w:vMerge w:val="restart"/>
            <w:tcBorders>
              <w:top w:val="single" w:sz="8" w:space="0" w:color="auto"/>
              <w:left w:val="single" w:sz="8" w:space="0" w:color="auto"/>
              <w:bottom w:val="double" w:sz="6" w:space="0" w:color="000000"/>
              <w:right w:val="single" w:sz="8" w:space="0" w:color="auto"/>
              <w:tl2br w:val="single" w:sz="4" w:space="0" w:color="auto"/>
            </w:tcBorders>
            <w:shd w:val="clear" w:color="000000" w:fill="CCFFFF"/>
            <w:noWrap/>
            <w:vAlign w:val="center"/>
            <w:hideMark/>
          </w:tcPr>
          <w:p w:rsidR="00A74199" w:rsidRPr="00B521F8" w:rsidRDefault="0049699C" w:rsidP="008031C8">
            <w:pPr>
              <w:spacing w:after="0" w:line="240" w:lineRule="auto"/>
              <w:rPr>
                <w:rFonts w:ascii="Cambria" w:eastAsia="Times New Roman" w:hAnsi="Cambria" w:cs="Times New Roman"/>
                <w:b/>
                <w:bCs/>
                <w:color w:val="000000"/>
                <w:sz w:val="16"/>
                <w:szCs w:val="16"/>
              </w:rPr>
            </w:pPr>
            <w:r w:rsidRPr="00B521F8">
              <w:rPr>
                <w:rFonts w:asciiTheme="majorHAnsi" w:hAnsiTheme="majorHAnsi" w:cstheme="majorBidi"/>
                <w:sz w:val="16"/>
                <w:szCs w:val="16"/>
              </w:rPr>
              <w:t xml:space="preserve"> </w:t>
            </w:r>
            <w:r w:rsidR="00A74199" w:rsidRPr="00B521F8">
              <w:rPr>
                <w:rFonts w:ascii="Cambria" w:eastAsia="Times New Roman" w:hAnsi="Cambria" w:cs="Times New Roman"/>
                <w:b/>
                <w:bCs/>
                <w:color w:val="000000"/>
                <w:sz w:val="16"/>
                <w:szCs w:val="16"/>
              </w:rPr>
              <w:t xml:space="preserve">         </w:t>
            </w:r>
            <w:r w:rsidR="008031C8" w:rsidRPr="00B521F8">
              <w:rPr>
                <w:rFonts w:ascii="Cambria" w:eastAsia="Times New Roman" w:hAnsi="Cambria" w:cs="Times New Roman"/>
                <w:b/>
                <w:bCs/>
                <w:color w:val="000000"/>
                <w:sz w:val="16"/>
                <w:szCs w:val="16"/>
              </w:rPr>
              <w:t xml:space="preserve">           </w:t>
            </w:r>
            <w:r w:rsidR="00A74199" w:rsidRPr="00B521F8">
              <w:rPr>
                <w:rFonts w:ascii="Cambria" w:eastAsia="Times New Roman" w:hAnsi="Cambria" w:cs="Times New Roman"/>
                <w:b/>
                <w:bCs/>
                <w:color w:val="000000"/>
                <w:sz w:val="16"/>
                <w:szCs w:val="16"/>
              </w:rPr>
              <w:t xml:space="preserve">   </w:t>
            </w:r>
            <w:r w:rsidR="008031C8" w:rsidRPr="00B521F8">
              <w:rPr>
                <w:rFonts w:ascii="Cambria" w:eastAsia="Times New Roman" w:hAnsi="Cambria" w:cs="Times New Roman"/>
                <w:b/>
                <w:bCs/>
                <w:color w:val="000000"/>
                <w:sz w:val="16"/>
                <w:szCs w:val="16"/>
              </w:rPr>
              <w:t>Year</w:t>
            </w:r>
            <w:r w:rsidR="00A74199" w:rsidRPr="00B521F8">
              <w:rPr>
                <w:rFonts w:ascii="Cambria" w:eastAsia="Times New Roman" w:hAnsi="Cambria" w:cs="Times New Roman"/>
                <w:b/>
                <w:bCs/>
                <w:color w:val="000000"/>
                <w:sz w:val="16"/>
                <w:szCs w:val="16"/>
              </w:rPr>
              <w:t xml:space="preserve">                          </w:t>
            </w:r>
            <w:r w:rsidR="008031C8" w:rsidRPr="00B521F8">
              <w:rPr>
                <w:rFonts w:ascii="Cambria" w:eastAsia="Times New Roman" w:hAnsi="Cambria" w:cs="Times New Roman"/>
                <w:b/>
                <w:bCs/>
                <w:color w:val="000000"/>
                <w:sz w:val="16"/>
                <w:szCs w:val="16"/>
              </w:rPr>
              <w:t>Function</w:t>
            </w:r>
          </w:p>
        </w:tc>
        <w:tc>
          <w:tcPr>
            <w:tcW w:w="5103" w:type="dxa"/>
            <w:gridSpan w:val="7"/>
            <w:tcBorders>
              <w:top w:val="single" w:sz="8" w:space="0" w:color="auto"/>
              <w:left w:val="nil"/>
              <w:bottom w:val="single" w:sz="8" w:space="0" w:color="auto"/>
              <w:right w:val="single" w:sz="8" w:space="0" w:color="000000"/>
            </w:tcBorders>
            <w:shd w:val="clear" w:color="auto" w:fill="auto"/>
            <w:noWrap/>
            <w:vAlign w:val="bottom"/>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Actual Expenditures</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A74199" w:rsidRPr="00B521F8" w:rsidRDefault="00A74199" w:rsidP="00A74199">
            <w:pPr>
              <w:spacing w:after="0" w:line="240" w:lineRule="auto"/>
              <w:ind w:left="-108" w:firstLine="1"/>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 </w:t>
            </w:r>
          </w:p>
        </w:tc>
        <w:tc>
          <w:tcPr>
            <w:tcW w:w="4526" w:type="dxa"/>
            <w:gridSpan w:val="17"/>
            <w:tcBorders>
              <w:top w:val="single" w:sz="8" w:space="0" w:color="auto"/>
              <w:left w:val="nil"/>
              <w:bottom w:val="single" w:sz="8" w:space="0" w:color="auto"/>
              <w:right w:val="single" w:sz="8" w:space="0" w:color="000000"/>
            </w:tcBorders>
            <w:shd w:val="clear" w:color="auto" w:fill="auto"/>
            <w:noWrap/>
            <w:vAlign w:val="center"/>
            <w:hideMark/>
          </w:tcPr>
          <w:p w:rsidR="00A74199" w:rsidRPr="00B521F8" w:rsidRDefault="00A74199" w:rsidP="00A74199">
            <w:pPr>
              <w:spacing w:after="0" w:line="240" w:lineRule="auto"/>
              <w:ind w:left="-108" w:firstLine="1"/>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 of Total Expenditures</w:t>
            </w:r>
          </w:p>
        </w:tc>
      </w:tr>
      <w:tr w:rsidR="00B521F8" w:rsidRPr="00B521F8" w:rsidTr="00B521F8">
        <w:trPr>
          <w:gridAfter w:val="10"/>
          <w:wAfter w:w="4086" w:type="dxa"/>
          <w:trHeight w:val="300"/>
        </w:trPr>
        <w:tc>
          <w:tcPr>
            <w:tcW w:w="1560" w:type="dxa"/>
            <w:vMerge/>
            <w:tcBorders>
              <w:top w:val="single" w:sz="8" w:space="0" w:color="auto"/>
              <w:left w:val="single" w:sz="8" w:space="0" w:color="auto"/>
              <w:bottom w:val="double" w:sz="6" w:space="0" w:color="000000"/>
              <w:right w:val="single" w:sz="8" w:space="0" w:color="auto"/>
            </w:tcBorders>
            <w:vAlign w:val="center"/>
            <w:hideMark/>
          </w:tcPr>
          <w:p w:rsidR="00A74199" w:rsidRPr="00B521F8" w:rsidRDefault="00A74199" w:rsidP="00A74199">
            <w:pPr>
              <w:spacing w:after="0" w:line="240" w:lineRule="auto"/>
              <w:rPr>
                <w:rFonts w:ascii="Cambria" w:eastAsia="Times New Roman" w:hAnsi="Cambria" w:cs="Times New Roman"/>
                <w:b/>
                <w:bCs/>
                <w:color w:val="000000"/>
                <w:sz w:val="16"/>
                <w:szCs w:val="16"/>
              </w:rPr>
            </w:pP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2007</w:t>
            </w:r>
          </w:p>
        </w:tc>
        <w:tc>
          <w:tcPr>
            <w:tcW w:w="851" w:type="dxa"/>
            <w:tcBorders>
              <w:top w:val="nil"/>
              <w:left w:val="nil"/>
              <w:bottom w:val="double" w:sz="6" w:space="0" w:color="auto"/>
              <w:right w:val="nil"/>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2008</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2009</w:t>
            </w:r>
          </w:p>
        </w:tc>
        <w:tc>
          <w:tcPr>
            <w:tcW w:w="851" w:type="dxa"/>
            <w:tcBorders>
              <w:top w:val="nil"/>
              <w:left w:val="nil"/>
              <w:bottom w:val="double" w:sz="6" w:space="0" w:color="auto"/>
              <w:right w:val="nil"/>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2010</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2011</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**2012</w:t>
            </w:r>
          </w:p>
        </w:tc>
        <w:tc>
          <w:tcPr>
            <w:tcW w:w="567" w:type="dxa"/>
            <w:gridSpan w:val="2"/>
            <w:vMerge w:val="restart"/>
            <w:tcBorders>
              <w:top w:val="nil"/>
              <w:left w:val="single" w:sz="8" w:space="0" w:color="auto"/>
              <w:bottom w:val="single" w:sz="8" w:space="0" w:color="000000"/>
              <w:right w:val="single" w:sz="8" w:space="0" w:color="auto"/>
            </w:tcBorders>
            <w:shd w:val="clear" w:color="000000" w:fill="BFBFBF"/>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Growth Rate</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2007</w:t>
            </w:r>
          </w:p>
        </w:tc>
        <w:tc>
          <w:tcPr>
            <w:tcW w:w="709" w:type="dxa"/>
            <w:gridSpan w:val="2"/>
            <w:tcBorders>
              <w:top w:val="nil"/>
              <w:left w:val="nil"/>
              <w:bottom w:val="double" w:sz="6" w:space="0" w:color="auto"/>
              <w:right w:val="nil"/>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2008</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2009</w:t>
            </w:r>
          </w:p>
        </w:tc>
        <w:tc>
          <w:tcPr>
            <w:tcW w:w="709" w:type="dxa"/>
            <w:gridSpan w:val="2"/>
            <w:tcBorders>
              <w:top w:val="nil"/>
              <w:left w:val="nil"/>
              <w:bottom w:val="double" w:sz="6" w:space="0" w:color="auto"/>
              <w:right w:val="nil"/>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2010</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2011</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**2012</w:t>
            </w:r>
          </w:p>
        </w:tc>
        <w:tc>
          <w:tcPr>
            <w:tcW w:w="567" w:type="dxa"/>
            <w:gridSpan w:val="4"/>
            <w:vMerge w:val="restart"/>
            <w:tcBorders>
              <w:top w:val="single" w:sz="4" w:space="0" w:color="auto"/>
              <w:left w:val="single" w:sz="8" w:space="0" w:color="auto"/>
              <w:bottom w:val="single" w:sz="8" w:space="0" w:color="000000"/>
              <w:right w:val="single" w:sz="8" w:space="0" w:color="auto"/>
            </w:tcBorders>
            <w:shd w:val="clear" w:color="000000" w:fill="BFBFBF"/>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Average %</w:t>
            </w:r>
          </w:p>
        </w:tc>
      </w:tr>
      <w:tr w:rsidR="00B521F8" w:rsidRPr="00B521F8" w:rsidTr="00B521F8">
        <w:trPr>
          <w:gridAfter w:val="10"/>
          <w:wAfter w:w="4086" w:type="dxa"/>
          <w:trHeight w:val="315"/>
        </w:trPr>
        <w:tc>
          <w:tcPr>
            <w:tcW w:w="1560" w:type="dxa"/>
            <w:vMerge/>
            <w:tcBorders>
              <w:top w:val="single" w:sz="8" w:space="0" w:color="auto"/>
              <w:left w:val="single" w:sz="8" w:space="0" w:color="auto"/>
              <w:bottom w:val="double" w:sz="6" w:space="0" w:color="000000"/>
              <w:right w:val="single" w:sz="8" w:space="0" w:color="auto"/>
            </w:tcBorders>
            <w:vAlign w:val="center"/>
            <w:hideMark/>
          </w:tcPr>
          <w:p w:rsidR="00A74199" w:rsidRPr="00B521F8" w:rsidRDefault="00A74199" w:rsidP="00A74199">
            <w:pPr>
              <w:spacing w:after="0" w:line="240" w:lineRule="auto"/>
              <w:rPr>
                <w:rFonts w:ascii="Cambria" w:eastAsia="Times New Roman" w:hAnsi="Cambria" w:cs="Times New Roman"/>
                <w:b/>
                <w:bCs/>
                <w:color w:val="000000"/>
                <w:sz w:val="16"/>
                <w:szCs w:val="16"/>
              </w:rPr>
            </w:pPr>
          </w:p>
        </w:tc>
        <w:tc>
          <w:tcPr>
            <w:tcW w:w="850" w:type="dxa"/>
            <w:tcBorders>
              <w:top w:val="nil"/>
              <w:left w:val="nil"/>
              <w:bottom w:val="nil"/>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851" w:type="dxa"/>
            <w:tcBorders>
              <w:top w:val="nil"/>
              <w:left w:val="nil"/>
              <w:bottom w:val="nil"/>
              <w:right w:val="nil"/>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850" w:type="dxa"/>
            <w:tcBorders>
              <w:top w:val="nil"/>
              <w:left w:val="single" w:sz="8" w:space="0" w:color="auto"/>
              <w:bottom w:val="nil"/>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851" w:type="dxa"/>
            <w:tcBorders>
              <w:top w:val="nil"/>
              <w:left w:val="nil"/>
              <w:bottom w:val="nil"/>
              <w:right w:val="nil"/>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850" w:type="dxa"/>
            <w:tcBorders>
              <w:top w:val="nil"/>
              <w:left w:val="single" w:sz="8" w:space="0" w:color="auto"/>
              <w:bottom w:val="nil"/>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851" w:type="dxa"/>
            <w:gridSpan w:val="2"/>
            <w:tcBorders>
              <w:top w:val="nil"/>
              <w:left w:val="nil"/>
              <w:bottom w:val="nil"/>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567" w:type="dxa"/>
            <w:gridSpan w:val="2"/>
            <w:vMerge/>
            <w:tcBorders>
              <w:top w:val="nil"/>
              <w:left w:val="single" w:sz="8" w:space="0" w:color="auto"/>
              <w:bottom w:val="single" w:sz="8" w:space="0" w:color="000000"/>
              <w:right w:val="single" w:sz="8" w:space="0" w:color="auto"/>
            </w:tcBorders>
            <w:vAlign w:val="center"/>
            <w:hideMark/>
          </w:tcPr>
          <w:p w:rsidR="00A74199" w:rsidRPr="00B521F8" w:rsidRDefault="00A74199" w:rsidP="00A74199">
            <w:pPr>
              <w:spacing w:after="0" w:line="240" w:lineRule="auto"/>
              <w:rPr>
                <w:rFonts w:ascii="Cambria" w:eastAsia="Times New Roman" w:hAnsi="Cambria" w:cs="Times New Roman"/>
                <w:b/>
                <w:bCs/>
                <w:color w:val="000000"/>
                <w:sz w:val="16"/>
                <w:szCs w:val="16"/>
              </w:rPr>
            </w:pPr>
          </w:p>
        </w:tc>
        <w:tc>
          <w:tcPr>
            <w:tcW w:w="850" w:type="dxa"/>
            <w:tcBorders>
              <w:top w:val="nil"/>
              <w:left w:val="nil"/>
              <w:bottom w:val="nil"/>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709" w:type="dxa"/>
            <w:gridSpan w:val="2"/>
            <w:tcBorders>
              <w:top w:val="nil"/>
              <w:left w:val="nil"/>
              <w:bottom w:val="nil"/>
              <w:right w:val="nil"/>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709" w:type="dxa"/>
            <w:gridSpan w:val="3"/>
            <w:tcBorders>
              <w:top w:val="nil"/>
              <w:left w:val="single" w:sz="8" w:space="0" w:color="auto"/>
              <w:bottom w:val="nil"/>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709" w:type="dxa"/>
            <w:gridSpan w:val="2"/>
            <w:tcBorders>
              <w:top w:val="nil"/>
              <w:left w:val="nil"/>
              <w:bottom w:val="nil"/>
              <w:right w:val="nil"/>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708" w:type="dxa"/>
            <w:gridSpan w:val="3"/>
            <w:tcBorders>
              <w:top w:val="nil"/>
              <w:left w:val="single" w:sz="8" w:space="0" w:color="auto"/>
              <w:bottom w:val="nil"/>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567" w:type="dxa"/>
            <w:gridSpan w:val="3"/>
            <w:tcBorders>
              <w:top w:val="nil"/>
              <w:left w:val="nil"/>
              <w:bottom w:val="nil"/>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Total***</w:t>
            </w:r>
          </w:p>
        </w:tc>
        <w:tc>
          <w:tcPr>
            <w:tcW w:w="567" w:type="dxa"/>
            <w:gridSpan w:val="4"/>
            <w:vMerge/>
            <w:tcBorders>
              <w:top w:val="nil"/>
              <w:left w:val="single" w:sz="8" w:space="0" w:color="auto"/>
              <w:bottom w:val="single" w:sz="8" w:space="0" w:color="000000"/>
              <w:right w:val="single" w:sz="8" w:space="0" w:color="auto"/>
            </w:tcBorders>
            <w:vAlign w:val="center"/>
            <w:hideMark/>
          </w:tcPr>
          <w:p w:rsidR="00A74199" w:rsidRPr="00B521F8" w:rsidRDefault="00A74199" w:rsidP="00A74199">
            <w:pPr>
              <w:spacing w:after="0" w:line="240" w:lineRule="auto"/>
              <w:rPr>
                <w:rFonts w:ascii="Cambria" w:eastAsia="Times New Roman" w:hAnsi="Cambria" w:cs="Times New Roman"/>
                <w:b/>
                <w:bCs/>
                <w:color w:val="000000"/>
                <w:sz w:val="16"/>
                <w:szCs w:val="16"/>
              </w:rPr>
            </w:pPr>
          </w:p>
        </w:tc>
      </w:tr>
      <w:tr w:rsidR="00B521F8" w:rsidRPr="00B521F8" w:rsidTr="00B521F8">
        <w:trPr>
          <w:gridAfter w:val="10"/>
          <w:wAfter w:w="4086" w:type="dxa"/>
          <w:trHeight w:val="31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A74199" w:rsidRPr="00B521F8" w:rsidRDefault="00A74199"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t>General Public Services of which:</w:t>
            </w:r>
          </w:p>
        </w:tc>
        <w:tc>
          <w:tcPr>
            <w:tcW w:w="850" w:type="dxa"/>
            <w:tcBorders>
              <w:top w:val="double" w:sz="6" w:space="0" w:color="auto"/>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416475</w:t>
            </w:r>
          </w:p>
        </w:tc>
        <w:tc>
          <w:tcPr>
            <w:tcW w:w="851" w:type="dxa"/>
            <w:tcBorders>
              <w:top w:val="double" w:sz="6" w:space="0" w:color="auto"/>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452921</w:t>
            </w:r>
          </w:p>
        </w:tc>
        <w:tc>
          <w:tcPr>
            <w:tcW w:w="850" w:type="dxa"/>
            <w:tcBorders>
              <w:top w:val="double" w:sz="6" w:space="0" w:color="auto"/>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331865</w:t>
            </w:r>
          </w:p>
        </w:tc>
        <w:tc>
          <w:tcPr>
            <w:tcW w:w="851" w:type="dxa"/>
            <w:tcBorders>
              <w:top w:val="double" w:sz="6" w:space="0" w:color="auto"/>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382850</w:t>
            </w:r>
          </w:p>
        </w:tc>
        <w:tc>
          <w:tcPr>
            <w:tcW w:w="850" w:type="dxa"/>
            <w:tcBorders>
              <w:top w:val="double" w:sz="6" w:space="0" w:color="auto"/>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410322</w:t>
            </w:r>
          </w:p>
        </w:tc>
        <w:tc>
          <w:tcPr>
            <w:tcW w:w="851" w:type="dxa"/>
            <w:gridSpan w:val="2"/>
            <w:tcBorders>
              <w:top w:val="double" w:sz="6" w:space="0" w:color="auto"/>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613127</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8%</w:t>
            </w:r>
          </w:p>
        </w:tc>
        <w:tc>
          <w:tcPr>
            <w:tcW w:w="850" w:type="dxa"/>
            <w:tcBorders>
              <w:top w:val="double" w:sz="6" w:space="0" w:color="auto"/>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24%</w:t>
            </w:r>
          </w:p>
        </w:tc>
        <w:tc>
          <w:tcPr>
            <w:tcW w:w="709" w:type="dxa"/>
            <w:gridSpan w:val="2"/>
            <w:tcBorders>
              <w:top w:val="double" w:sz="6" w:space="0" w:color="auto"/>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20%</w:t>
            </w:r>
          </w:p>
        </w:tc>
        <w:tc>
          <w:tcPr>
            <w:tcW w:w="709" w:type="dxa"/>
            <w:gridSpan w:val="3"/>
            <w:tcBorders>
              <w:top w:val="double" w:sz="6" w:space="0" w:color="auto"/>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18%</w:t>
            </w:r>
          </w:p>
        </w:tc>
        <w:tc>
          <w:tcPr>
            <w:tcW w:w="709" w:type="dxa"/>
            <w:gridSpan w:val="2"/>
            <w:tcBorders>
              <w:top w:val="double" w:sz="6" w:space="0" w:color="auto"/>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18%</w:t>
            </w:r>
          </w:p>
        </w:tc>
        <w:tc>
          <w:tcPr>
            <w:tcW w:w="708" w:type="dxa"/>
            <w:gridSpan w:val="3"/>
            <w:tcBorders>
              <w:top w:val="double" w:sz="6" w:space="0" w:color="auto"/>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20%</w:t>
            </w:r>
          </w:p>
        </w:tc>
        <w:tc>
          <w:tcPr>
            <w:tcW w:w="567" w:type="dxa"/>
            <w:gridSpan w:val="3"/>
            <w:tcBorders>
              <w:top w:val="double" w:sz="6" w:space="0" w:color="auto"/>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23%</w:t>
            </w:r>
          </w:p>
        </w:tc>
        <w:tc>
          <w:tcPr>
            <w:tcW w:w="567" w:type="dxa"/>
            <w:gridSpan w:val="4"/>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20%</w:t>
            </w:r>
          </w:p>
        </w:tc>
      </w:tr>
      <w:tr w:rsidR="00B521F8" w:rsidRPr="00B521F8" w:rsidTr="00B521F8">
        <w:trPr>
          <w:gridAfter w:val="10"/>
          <w:wAfter w:w="4086" w:type="dxa"/>
          <w:trHeight w:val="31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A74199" w:rsidRPr="00B521F8" w:rsidRDefault="00A74199"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t>Central Subsidies ***</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0</w:t>
            </w:r>
          </w:p>
        </w:tc>
        <w:tc>
          <w:tcPr>
            <w:tcW w:w="851"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0</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0</w:t>
            </w:r>
          </w:p>
        </w:tc>
        <w:tc>
          <w:tcPr>
            <w:tcW w:w="851"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0</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0</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0</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 </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 </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 </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 </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 </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 </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 </w:t>
            </w:r>
          </w:p>
        </w:tc>
        <w:tc>
          <w:tcPr>
            <w:tcW w:w="567" w:type="dxa"/>
            <w:gridSpan w:val="4"/>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 </w:t>
            </w:r>
          </w:p>
        </w:tc>
      </w:tr>
      <w:tr w:rsidR="00B521F8" w:rsidRPr="00B521F8" w:rsidTr="00B521F8">
        <w:trPr>
          <w:gridAfter w:val="9"/>
          <w:wAfter w:w="3945" w:type="dxa"/>
          <w:trHeight w:val="31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A74199" w:rsidRPr="00B521F8" w:rsidRDefault="008031C8"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t>Defense</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272806</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297136</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288172</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317957</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344674</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308411</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16%</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13%</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16%</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15%</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16%</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12%</w:t>
            </w:r>
          </w:p>
        </w:tc>
        <w:tc>
          <w:tcPr>
            <w:tcW w:w="708" w:type="dxa"/>
            <w:gridSpan w:val="5"/>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15%</w:t>
            </w:r>
          </w:p>
        </w:tc>
      </w:tr>
      <w:tr w:rsidR="00B521F8" w:rsidRPr="00B521F8" w:rsidTr="00B521F8">
        <w:trPr>
          <w:gridAfter w:val="9"/>
          <w:wAfter w:w="3945" w:type="dxa"/>
          <w:trHeight w:val="31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A74199" w:rsidRPr="00B521F8" w:rsidRDefault="00A74199"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lastRenderedPageBreak/>
              <w:t>Regulation and Public Security</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116140</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132451</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129818</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137395</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161403</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167163</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8%</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7%</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6%</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7%</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6%</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8%</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6%</w:t>
            </w:r>
          </w:p>
        </w:tc>
        <w:tc>
          <w:tcPr>
            <w:tcW w:w="708" w:type="dxa"/>
            <w:gridSpan w:val="5"/>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7%</w:t>
            </w:r>
          </w:p>
        </w:tc>
      </w:tr>
      <w:tr w:rsidR="00B521F8" w:rsidRPr="00B521F8" w:rsidTr="00B521F8">
        <w:trPr>
          <w:gridAfter w:val="9"/>
          <w:wAfter w:w="3945" w:type="dxa"/>
          <w:trHeight w:val="31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A74199" w:rsidRPr="00B521F8" w:rsidRDefault="00A74199"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t xml:space="preserve">Economic Affairs </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473480</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827244</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496041</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666445</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589941</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389034</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-4%</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27%</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37%</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27%</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32%</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28%</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15%</w:t>
            </w:r>
          </w:p>
        </w:tc>
        <w:tc>
          <w:tcPr>
            <w:tcW w:w="708" w:type="dxa"/>
            <w:gridSpan w:val="5"/>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27%</w:t>
            </w:r>
          </w:p>
        </w:tc>
      </w:tr>
      <w:tr w:rsidR="00B521F8" w:rsidRPr="00B521F8" w:rsidTr="00B521F8">
        <w:trPr>
          <w:gridAfter w:val="9"/>
          <w:wAfter w:w="3945" w:type="dxa"/>
          <w:trHeight w:val="31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A74199" w:rsidRPr="00B521F8" w:rsidRDefault="00A74199"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t>Environment Protection</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30178</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26326</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29406</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27403</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3208</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14667</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-13%</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0%</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8" w:type="dxa"/>
            <w:gridSpan w:val="5"/>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w:t>
            </w:r>
          </w:p>
        </w:tc>
      </w:tr>
      <w:tr w:rsidR="00B521F8" w:rsidRPr="00B521F8" w:rsidTr="00B521F8">
        <w:trPr>
          <w:gridAfter w:val="9"/>
          <w:wAfter w:w="3945" w:type="dxa"/>
          <w:trHeight w:val="31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A74199" w:rsidRPr="00B521F8" w:rsidRDefault="00A74199"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t>Housing Affairs and Public Facilities</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89713</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101817</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103178</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109489</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63963</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32861</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-18%</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5%</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5%</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6%</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5%</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3%</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8" w:type="dxa"/>
            <w:gridSpan w:val="5"/>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4%</w:t>
            </w:r>
          </w:p>
        </w:tc>
      </w:tr>
      <w:tr w:rsidR="00B521F8" w:rsidRPr="00B521F8" w:rsidTr="00B521F8">
        <w:trPr>
          <w:gridAfter w:val="9"/>
          <w:wAfter w:w="3945" w:type="dxa"/>
          <w:trHeight w:val="31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A74199" w:rsidRPr="00B521F8" w:rsidRDefault="00A74199"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t>Health</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59335</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70172</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74786</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76945</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77347</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121666</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15%</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3%</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3%</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4%</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4%</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4%</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5%</w:t>
            </w:r>
          </w:p>
        </w:tc>
        <w:tc>
          <w:tcPr>
            <w:tcW w:w="708" w:type="dxa"/>
            <w:gridSpan w:val="5"/>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4%</w:t>
            </w:r>
          </w:p>
        </w:tc>
      </w:tr>
      <w:tr w:rsidR="00B521F8" w:rsidRPr="00B521F8" w:rsidTr="00B521F8">
        <w:trPr>
          <w:gridAfter w:val="9"/>
          <w:wAfter w:w="3945" w:type="dxa"/>
          <w:trHeight w:val="31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A74199" w:rsidRPr="00B521F8" w:rsidRDefault="00A74199"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t xml:space="preserve">Entertainment ,Cultural &amp; Religious </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20296</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22570</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23378</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23986</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19308</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35624</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12%</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8" w:type="dxa"/>
            <w:gridSpan w:val="5"/>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w:t>
            </w:r>
          </w:p>
        </w:tc>
      </w:tr>
      <w:tr w:rsidR="00B521F8" w:rsidRPr="00B521F8" w:rsidTr="00B521F8">
        <w:trPr>
          <w:gridAfter w:val="9"/>
          <w:wAfter w:w="3945" w:type="dxa"/>
          <w:trHeight w:val="315"/>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A74199" w:rsidRPr="00B521F8" w:rsidRDefault="00A74199"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t>Education</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251141</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291715</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301586</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298092</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334456</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414589</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11%</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14%</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13%</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16%</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14%</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16%</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16%</w:t>
            </w:r>
          </w:p>
        </w:tc>
        <w:tc>
          <w:tcPr>
            <w:tcW w:w="708" w:type="dxa"/>
            <w:gridSpan w:val="5"/>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15%</w:t>
            </w:r>
          </w:p>
        </w:tc>
      </w:tr>
      <w:tr w:rsidR="00B521F8" w:rsidRPr="00B521F8" w:rsidTr="00B521F8">
        <w:trPr>
          <w:gridAfter w:val="9"/>
          <w:wAfter w:w="3945" w:type="dxa"/>
          <w:trHeight w:val="315"/>
        </w:trPr>
        <w:tc>
          <w:tcPr>
            <w:tcW w:w="1560" w:type="dxa"/>
            <w:tcBorders>
              <w:top w:val="nil"/>
              <w:left w:val="single" w:sz="8" w:space="0" w:color="auto"/>
              <w:bottom w:val="nil"/>
              <w:right w:val="single" w:sz="8" w:space="0" w:color="auto"/>
            </w:tcBorders>
            <w:shd w:val="clear" w:color="auto" w:fill="auto"/>
            <w:vAlign w:val="center"/>
            <w:hideMark/>
          </w:tcPr>
          <w:p w:rsidR="00A74199" w:rsidRPr="00B521F8" w:rsidRDefault="00A74199"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t>Social  Protection</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4194</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5123</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47912</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49789</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53158</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535464</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164%</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0%</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0%</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3%</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3%</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20%</w:t>
            </w:r>
          </w:p>
        </w:tc>
        <w:tc>
          <w:tcPr>
            <w:tcW w:w="708" w:type="dxa"/>
            <w:gridSpan w:val="5"/>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5%</w:t>
            </w:r>
          </w:p>
        </w:tc>
      </w:tr>
      <w:tr w:rsidR="00B521F8" w:rsidRPr="00B521F8" w:rsidTr="00B521F8">
        <w:trPr>
          <w:gridAfter w:val="9"/>
          <w:wAfter w:w="3945" w:type="dxa"/>
          <w:trHeight w:val="510"/>
        </w:trPr>
        <w:tc>
          <w:tcPr>
            <w:tcW w:w="1560" w:type="dxa"/>
            <w:tcBorders>
              <w:top w:val="single" w:sz="8" w:space="0" w:color="000000"/>
              <w:left w:val="single" w:sz="8" w:space="0" w:color="auto"/>
              <w:bottom w:val="single" w:sz="8" w:space="0" w:color="000000"/>
              <w:right w:val="single" w:sz="8" w:space="0" w:color="auto"/>
            </w:tcBorders>
            <w:shd w:val="clear" w:color="000000" w:fill="CCFFFF"/>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Total Expenditures (according to functional classification)</w:t>
            </w:r>
          </w:p>
        </w:tc>
        <w:tc>
          <w:tcPr>
            <w:tcW w:w="850" w:type="dxa"/>
            <w:tcBorders>
              <w:top w:val="nil"/>
              <w:left w:val="nil"/>
              <w:bottom w:val="double" w:sz="6" w:space="0" w:color="auto"/>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1733758</w:t>
            </w:r>
          </w:p>
        </w:tc>
        <w:tc>
          <w:tcPr>
            <w:tcW w:w="851" w:type="dxa"/>
            <w:tcBorders>
              <w:top w:val="nil"/>
              <w:left w:val="nil"/>
              <w:bottom w:val="double" w:sz="6" w:space="0" w:color="auto"/>
              <w:right w:val="double" w:sz="6"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2227475</w:t>
            </w:r>
          </w:p>
        </w:tc>
        <w:tc>
          <w:tcPr>
            <w:tcW w:w="850" w:type="dxa"/>
            <w:tcBorders>
              <w:top w:val="nil"/>
              <w:left w:val="single" w:sz="8" w:space="0" w:color="auto"/>
              <w:bottom w:val="double" w:sz="6" w:space="0" w:color="auto"/>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1826142</w:t>
            </w:r>
          </w:p>
        </w:tc>
        <w:tc>
          <w:tcPr>
            <w:tcW w:w="851" w:type="dxa"/>
            <w:tcBorders>
              <w:top w:val="nil"/>
              <w:left w:val="nil"/>
              <w:bottom w:val="double" w:sz="6" w:space="0" w:color="auto"/>
              <w:right w:val="double" w:sz="6"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2090351</w:t>
            </w:r>
          </w:p>
        </w:tc>
        <w:tc>
          <w:tcPr>
            <w:tcW w:w="850" w:type="dxa"/>
            <w:tcBorders>
              <w:top w:val="nil"/>
              <w:left w:val="single" w:sz="8" w:space="0" w:color="auto"/>
              <w:bottom w:val="double" w:sz="6" w:space="0" w:color="auto"/>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2057780</w:t>
            </w:r>
          </w:p>
        </w:tc>
        <w:tc>
          <w:tcPr>
            <w:tcW w:w="851" w:type="dxa"/>
            <w:gridSpan w:val="2"/>
            <w:tcBorders>
              <w:top w:val="nil"/>
              <w:left w:val="nil"/>
              <w:bottom w:val="double" w:sz="6" w:space="0" w:color="auto"/>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2632606</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9%</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99%</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99%</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99%</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99%</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98%</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98%</w:t>
            </w:r>
          </w:p>
        </w:tc>
        <w:tc>
          <w:tcPr>
            <w:tcW w:w="708" w:type="dxa"/>
            <w:gridSpan w:val="5"/>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99%</w:t>
            </w:r>
          </w:p>
        </w:tc>
      </w:tr>
      <w:tr w:rsidR="00B521F8" w:rsidRPr="00B521F8" w:rsidTr="00B521F8">
        <w:trPr>
          <w:gridAfter w:val="9"/>
          <w:wAfter w:w="3945" w:type="dxa"/>
          <w:trHeight w:val="315"/>
        </w:trPr>
        <w:tc>
          <w:tcPr>
            <w:tcW w:w="1560" w:type="dxa"/>
            <w:tcBorders>
              <w:top w:val="nil"/>
              <w:left w:val="single" w:sz="8" w:space="0" w:color="auto"/>
              <w:bottom w:val="nil"/>
              <w:right w:val="single" w:sz="8" w:space="0" w:color="auto"/>
            </w:tcBorders>
            <w:shd w:val="clear" w:color="auto" w:fill="auto"/>
            <w:vAlign w:val="center"/>
            <w:hideMark/>
          </w:tcPr>
          <w:p w:rsidR="00A74199" w:rsidRPr="00B521F8" w:rsidRDefault="00A74199" w:rsidP="00A74199">
            <w:pPr>
              <w:spacing w:after="0" w:line="240" w:lineRule="auto"/>
              <w:jc w:val="center"/>
              <w:rPr>
                <w:rFonts w:ascii="Cambria" w:eastAsia="Times New Roman" w:hAnsi="Cambria" w:cs="Times New Roman"/>
                <w:b/>
                <w:bCs/>
                <w:color w:val="000080"/>
                <w:sz w:val="16"/>
                <w:szCs w:val="16"/>
              </w:rPr>
            </w:pPr>
            <w:r w:rsidRPr="00B521F8">
              <w:rPr>
                <w:rFonts w:ascii="Cambria" w:eastAsia="Times New Roman" w:hAnsi="Cambria" w:cs="Times New Roman"/>
                <w:b/>
                <w:bCs/>
                <w:color w:val="000080"/>
                <w:sz w:val="16"/>
                <w:szCs w:val="16"/>
              </w:rPr>
              <w:t>Debt Repayment</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21024</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20691</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21818</w:t>
            </w:r>
          </w:p>
        </w:tc>
        <w:tc>
          <w:tcPr>
            <w:tcW w:w="851" w:type="dxa"/>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25077</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39572</w:t>
            </w:r>
          </w:p>
        </w:tc>
        <w:tc>
          <w:tcPr>
            <w:tcW w:w="851" w:type="dxa"/>
            <w:gridSpan w:val="2"/>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sz w:val="16"/>
                <w:szCs w:val="16"/>
              </w:rPr>
            </w:pPr>
            <w:r w:rsidRPr="00B521F8">
              <w:rPr>
                <w:rFonts w:ascii="Cambria" w:eastAsia="Times New Roman" w:hAnsi="Cambria" w:cs="Times New Roman"/>
                <w:sz w:val="16"/>
                <w:szCs w:val="16"/>
              </w:rPr>
              <w:t>40134</w:t>
            </w:r>
          </w:p>
        </w:tc>
        <w:tc>
          <w:tcPr>
            <w:tcW w:w="567" w:type="dxa"/>
            <w:gridSpan w:val="2"/>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14%</w:t>
            </w:r>
          </w:p>
        </w:tc>
        <w:tc>
          <w:tcPr>
            <w:tcW w:w="850" w:type="dxa"/>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9"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9" w:type="dxa"/>
            <w:gridSpan w:val="2"/>
            <w:tcBorders>
              <w:top w:val="nil"/>
              <w:left w:val="nil"/>
              <w:bottom w:val="double" w:sz="6"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w:t>
            </w:r>
          </w:p>
        </w:tc>
        <w:tc>
          <w:tcPr>
            <w:tcW w:w="708" w:type="dxa"/>
            <w:gridSpan w:val="3"/>
            <w:tcBorders>
              <w:top w:val="nil"/>
              <w:left w:val="single" w:sz="8" w:space="0" w:color="auto"/>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w:t>
            </w:r>
          </w:p>
        </w:tc>
        <w:tc>
          <w:tcPr>
            <w:tcW w:w="567" w:type="dxa"/>
            <w:gridSpan w:val="3"/>
            <w:tcBorders>
              <w:top w:val="nil"/>
              <w:left w:val="nil"/>
              <w:bottom w:val="double" w:sz="6"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2%</w:t>
            </w:r>
          </w:p>
        </w:tc>
        <w:tc>
          <w:tcPr>
            <w:tcW w:w="708" w:type="dxa"/>
            <w:gridSpan w:val="5"/>
            <w:tcBorders>
              <w:top w:val="nil"/>
              <w:left w:val="nil"/>
              <w:bottom w:val="double" w:sz="6"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w:t>
            </w:r>
          </w:p>
        </w:tc>
      </w:tr>
      <w:tr w:rsidR="00B521F8" w:rsidRPr="00B521F8" w:rsidTr="00B521F8">
        <w:trPr>
          <w:gridAfter w:val="9"/>
          <w:wAfter w:w="3945" w:type="dxa"/>
          <w:trHeight w:val="315"/>
        </w:trPr>
        <w:tc>
          <w:tcPr>
            <w:tcW w:w="1560" w:type="dxa"/>
            <w:tcBorders>
              <w:top w:val="single" w:sz="8" w:space="0" w:color="000000"/>
              <w:left w:val="single" w:sz="8" w:space="0" w:color="auto"/>
              <w:bottom w:val="single" w:sz="8" w:space="0" w:color="auto"/>
              <w:right w:val="single" w:sz="8" w:space="0" w:color="auto"/>
            </w:tcBorders>
            <w:shd w:val="clear" w:color="000000" w:fill="CCFFFF"/>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Grand Total of Expenditures</w:t>
            </w:r>
          </w:p>
        </w:tc>
        <w:tc>
          <w:tcPr>
            <w:tcW w:w="850" w:type="dxa"/>
            <w:tcBorders>
              <w:top w:val="nil"/>
              <w:left w:val="nil"/>
              <w:bottom w:val="single" w:sz="8" w:space="0" w:color="auto"/>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b/>
                <w:bCs/>
                <w:sz w:val="16"/>
                <w:szCs w:val="16"/>
              </w:rPr>
            </w:pPr>
            <w:r w:rsidRPr="00B521F8">
              <w:rPr>
                <w:rFonts w:ascii="Cambria" w:eastAsia="Times New Roman" w:hAnsi="Cambria" w:cs="Times New Roman"/>
                <w:b/>
                <w:bCs/>
                <w:sz w:val="16"/>
                <w:szCs w:val="16"/>
              </w:rPr>
              <w:t>1754782</w:t>
            </w:r>
          </w:p>
        </w:tc>
        <w:tc>
          <w:tcPr>
            <w:tcW w:w="851" w:type="dxa"/>
            <w:tcBorders>
              <w:top w:val="nil"/>
              <w:left w:val="nil"/>
              <w:bottom w:val="single" w:sz="8" w:space="0" w:color="auto"/>
              <w:right w:val="double" w:sz="6"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b/>
                <w:bCs/>
                <w:sz w:val="16"/>
                <w:szCs w:val="16"/>
              </w:rPr>
            </w:pPr>
            <w:r w:rsidRPr="00B521F8">
              <w:rPr>
                <w:rFonts w:ascii="Cambria" w:eastAsia="Times New Roman" w:hAnsi="Cambria" w:cs="Times New Roman"/>
                <w:b/>
                <w:bCs/>
                <w:sz w:val="16"/>
                <w:szCs w:val="16"/>
              </w:rPr>
              <w:t>2248166</w:t>
            </w:r>
          </w:p>
        </w:tc>
        <w:tc>
          <w:tcPr>
            <w:tcW w:w="850" w:type="dxa"/>
            <w:tcBorders>
              <w:top w:val="nil"/>
              <w:left w:val="single" w:sz="8" w:space="0" w:color="auto"/>
              <w:bottom w:val="single" w:sz="8" w:space="0" w:color="auto"/>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b/>
                <w:bCs/>
                <w:sz w:val="16"/>
                <w:szCs w:val="16"/>
              </w:rPr>
            </w:pPr>
            <w:r w:rsidRPr="00B521F8">
              <w:rPr>
                <w:rFonts w:ascii="Cambria" w:eastAsia="Times New Roman" w:hAnsi="Cambria" w:cs="Times New Roman"/>
                <w:b/>
                <w:bCs/>
                <w:sz w:val="16"/>
                <w:szCs w:val="16"/>
              </w:rPr>
              <w:t>1847960</w:t>
            </w:r>
          </w:p>
        </w:tc>
        <w:tc>
          <w:tcPr>
            <w:tcW w:w="851" w:type="dxa"/>
            <w:tcBorders>
              <w:top w:val="nil"/>
              <w:left w:val="nil"/>
              <w:bottom w:val="single" w:sz="8" w:space="0" w:color="auto"/>
              <w:right w:val="double" w:sz="6"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b/>
                <w:bCs/>
                <w:sz w:val="16"/>
                <w:szCs w:val="16"/>
              </w:rPr>
            </w:pPr>
            <w:r w:rsidRPr="00B521F8">
              <w:rPr>
                <w:rFonts w:ascii="Cambria" w:eastAsia="Times New Roman" w:hAnsi="Cambria" w:cs="Times New Roman"/>
                <w:b/>
                <w:bCs/>
                <w:sz w:val="16"/>
                <w:szCs w:val="16"/>
              </w:rPr>
              <w:t>2115428</w:t>
            </w:r>
          </w:p>
        </w:tc>
        <w:tc>
          <w:tcPr>
            <w:tcW w:w="850" w:type="dxa"/>
            <w:tcBorders>
              <w:top w:val="nil"/>
              <w:left w:val="single" w:sz="8" w:space="0" w:color="auto"/>
              <w:bottom w:val="single" w:sz="8" w:space="0" w:color="auto"/>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b/>
                <w:bCs/>
                <w:sz w:val="16"/>
                <w:szCs w:val="16"/>
              </w:rPr>
            </w:pPr>
            <w:r w:rsidRPr="00B521F8">
              <w:rPr>
                <w:rFonts w:ascii="Cambria" w:eastAsia="Times New Roman" w:hAnsi="Cambria" w:cs="Times New Roman"/>
                <w:b/>
                <w:bCs/>
                <w:sz w:val="16"/>
                <w:szCs w:val="16"/>
              </w:rPr>
              <w:t>2097352</w:t>
            </w:r>
          </w:p>
        </w:tc>
        <w:tc>
          <w:tcPr>
            <w:tcW w:w="851" w:type="dxa"/>
            <w:gridSpan w:val="2"/>
            <w:tcBorders>
              <w:top w:val="nil"/>
              <w:left w:val="nil"/>
              <w:bottom w:val="single" w:sz="8" w:space="0" w:color="auto"/>
              <w:right w:val="single" w:sz="8" w:space="0" w:color="auto"/>
            </w:tcBorders>
            <w:shd w:val="clear" w:color="000000" w:fill="CCFFFF"/>
            <w:noWrap/>
            <w:vAlign w:val="center"/>
            <w:hideMark/>
          </w:tcPr>
          <w:p w:rsidR="00A74199" w:rsidRPr="00B521F8" w:rsidRDefault="00A74199" w:rsidP="00A74199">
            <w:pPr>
              <w:spacing w:after="0" w:line="240" w:lineRule="auto"/>
              <w:jc w:val="center"/>
              <w:rPr>
                <w:rFonts w:ascii="Cambria" w:eastAsia="Times New Roman" w:hAnsi="Cambria" w:cs="Times New Roman"/>
                <w:b/>
                <w:bCs/>
                <w:sz w:val="16"/>
                <w:szCs w:val="16"/>
              </w:rPr>
            </w:pPr>
            <w:r w:rsidRPr="00B521F8">
              <w:rPr>
                <w:rFonts w:ascii="Cambria" w:eastAsia="Times New Roman" w:hAnsi="Cambria" w:cs="Times New Roman"/>
                <w:b/>
                <w:bCs/>
                <w:sz w:val="16"/>
                <w:szCs w:val="16"/>
              </w:rPr>
              <w:t>2672740</w:t>
            </w:r>
          </w:p>
        </w:tc>
        <w:tc>
          <w:tcPr>
            <w:tcW w:w="567" w:type="dxa"/>
            <w:gridSpan w:val="2"/>
            <w:tcBorders>
              <w:top w:val="nil"/>
              <w:left w:val="nil"/>
              <w:bottom w:val="single" w:sz="8"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100%</w:t>
            </w:r>
          </w:p>
        </w:tc>
        <w:tc>
          <w:tcPr>
            <w:tcW w:w="709" w:type="dxa"/>
            <w:gridSpan w:val="2"/>
            <w:tcBorders>
              <w:top w:val="nil"/>
              <w:left w:val="nil"/>
              <w:bottom w:val="single" w:sz="8"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100%</w:t>
            </w:r>
          </w:p>
        </w:tc>
        <w:tc>
          <w:tcPr>
            <w:tcW w:w="709" w:type="dxa"/>
            <w:gridSpan w:val="3"/>
            <w:tcBorders>
              <w:top w:val="nil"/>
              <w:left w:val="single" w:sz="8" w:space="0" w:color="auto"/>
              <w:bottom w:val="single" w:sz="8"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100%</w:t>
            </w:r>
          </w:p>
        </w:tc>
        <w:tc>
          <w:tcPr>
            <w:tcW w:w="709" w:type="dxa"/>
            <w:gridSpan w:val="2"/>
            <w:tcBorders>
              <w:top w:val="nil"/>
              <w:left w:val="nil"/>
              <w:bottom w:val="single" w:sz="8" w:space="0" w:color="auto"/>
              <w:right w:val="double" w:sz="6"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100%</w:t>
            </w:r>
          </w:p>
        </w:tc>
        <w:tc>
          <w:tcPr>
            <w:tcW w:w="708" w:type="dxa"/>
            <w:gridSpan w:val="3"/>
            <w:tcBorders>
              <w:top w:val="nil"/>
              <w:left w:val="single" w:sz="8" w:space="0" w:color="auto"/>
              <w:bottom w:val="single" w:sz="8"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100%</w:t>
            </w:r>
          </w:p>
        </w:tc>
        <w:tc>
          <w:tcPr>
            <w:tcW w:w="567" w:type="dxa"/>
            <w:gridSpan w:val="3"/>
            <w:tcBorders>
              <w:top w:val="nil"/>
              <w:left w:val="nil"/>
              <w:bottom w:val="single" w:sz="8" w:space="0" w:color="auto"/>
              <w:right w:val="single" w:sz="8" w:space="0" w:color="auto"/>
            </w:tcBorders>
            <w:shd w:val="clear" w:color="auto" w:fill="auto"/>
            <w:noWrap/>
            <w:vAlign w:val="center"/>
            <w:hideMark/>
          </w:tcPr>
          <w:p w:rsidR="00A74199" w:rsidRPr="00B521F8" w:rsidRDefault="00A74199" w:rsidP="00A74199">
            <w:pPr>
              <w:spacing w:after="0" w:line="240" w:lineRule="auto"/>
              <w:jc w:val="center"/>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100%</w:t>
            </w:r>
          </w:p>
        </w:tc>
        <w:tc>
          <w:tcPr>
            <w:tcW w:w="708" w:type="dxa"/>
            <w:gridSpan w:val="5"/>
            <w:tcBorders>
              <w:top w:val="nil"/>
              <w:left w:val="nil"/>
              <w:bottom w:val="single" w:sz="8" w:space="0" w:color="auto"/>
              <w:right w:val="single" w:sz="8" w:space="0" w:color="auto"/>
            </w:tcBorders>
            <w:shd w:val="clear" w:color="000000" w:fill="BFBFBF"/>
            <w:noWrap/>
            <w:vAlign w:val="center"/>
            <w:hideMark/>
          </w:tcPr>
          <w:p w:rsidR="00A74199" w:rsidRPr="00B521F8" w:rsidRDefault="00A74199" w:rsidP="00A74199">
            <w:pPr>
              <w:spacing w:after="0" w:line="240" w:lineRule="auto"/>
              <w:jc w:val="center"/>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100%</w:t>
            </w:r>
          </w:p>
        </w:tc>
      </w:tr>
      <w:tr w:rsidR="00B521F8" w:rsidRPr="00B521F8" w:rsidTr="00B521F8">
        <w:trPr>
          <w:trHeight w:val="300"/>
        </w:trPr>
        <w:tc>
          <w:tcPr>
            <w:tcW w:w="1560" w:type="dxa"/>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 ** )Budget Data .</w:t>
            </w:r>
          </w:p>
        </w:tc>
        <w:tc>
          <w:tcPr>
            <w:tcW w:w="850" w:type="dxa"/>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851" w:type="dxa"/>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850" w:type="dxa"/>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5037" w:type="dxa"/>
            <w:gridSpan w:val="10"/>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685" w:type="dxa"/>
            <w:gridSpan w:val="3"/>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963" w:type="dxa"/>
            <w:gridSpan w:val="3"/>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520" w:type="dxa"/>
            <w:gridSpan w:val="3"/>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363" w:type="dxa"/>
            <w:gridSpan w:val="2"/>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370" w:type="dxa"/>
            <w:gridSpan w:val="3"/>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648" w:type="dxa"/>
            <w:gridSpan w:val="3"/>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847" w:type="dxa"/>
            <w:gridSpan w:val="2"/>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847" w:type="dxa"/>
            <w:gridSpan w:val="2"/>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847" w:type="dxa"/>
            <w:gridSpan w:val="2"/>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897" w:type="dxa"/>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r>
      <w:tr w:rsidR="00B521F8" w:rsidRPr="00B521F8" w:rsidTr="00B521F8">
        <w:trPr>
          <w:gridAfter w:val="2"/>
          <w:wAfter w:w="1392" w:type="dxa"/>
          <w:trHeight w:val="300"/>
        </w:trPr>
        <w:tc>
          <w:tcPr>
            <w:tcW w:w="6029" w:type="dxa"/>
            <w:gridSpan w:val="7"/>
            <w:tcBorders>
              <w:top w:val="nil"/>
              <w:left w:val="nil"/>
              <w:bottom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b/>
                <w:bCs/>
                <w:color w:val="000000"/>
                <w:sz w:val="16"/>
                <w:szCs w:val="16"/>
              </w:rPr>
            </w:pPr>
            <w:r w:rsidRPr="00B521F8">
              <w:rPr>
                <w:rFonts w:ascii="Cambria" w:eastAsia="Times New Roman" w:hAnsi="Cambria" w:cs="Times New Roman"/>
                <w:b/>
                <w:bCs/>
                <w:color w:val="000000"/>
                <w:sz w:val="16"/>
                <w:szCs w:val="16"/>
              </w:rPr>
              <w:t>(***) To avoid Duplication, the Expenditures Grand</w:t>
            </w:r>
            <w:r w:rsidR="008031C8" w:rsidRPr="00B521F8">
              <w:rPr>
                <w:rFonts w:ascii="Cambria" w:eastAsia="Times New Roman" w:hAnsi="Cambria" w:cs="Times New Roman"/>
                <w:b/>
                <w:bCs/>
                <w:color w:val="000000"/>
                <w:sz w:val="16"/>
                <w:szCs w:val="16"/>
              </w:rPr>
              <w:t xml:space="preserve"> </w:t>
            </w:r>
            <w:r w:rsidRPr="00B521F8">
              <w:rPr>
                <w:rFonts w:ascii="Cambria" w:eastAsia="Times New Roman" w:hAnsi="Cambria" w:cs="Times New Roman"/>
                <w:b/>
                <w:bCs/>
                <w:color w:val="000000"/>
                <w:sz w:val="16"/>
                <w:szCs w:val="16"/>
              </w:rPr>
              <w:t>total  = the Central Authority Expenditures + Local Authority Expenditures - the Capital and Current Central Subsidies</w:t>
            </w:r>
            <w:r w:rsidR="008031C8" w:rsidRPr="00B521F8">
              <w:rPr>
                <w:rFonts w:ascii="Cambria" w:eastAsia="Times New Roman" w:hAnsi="Cambria" w:cs="Times New Roman"/>
                <w:b/>
                <w:bCs/>
                <w:color w:val="000000"/>
                <w:sz w:val="16"/>
                <w:szCs w:val="16"/>
              </w:rPr>
              <w:t>.</w:t>
            </w:r>
            <w:r w:rsidRPr="00B521F8">
              <w:rPr>
                <w:rFonts w:ascii="Cambria" w:eastAsia="Times New Roman" w:hAnsi="Cambria" w:cs="Times New Roman"/>
                <w:b/>
                <w:bCs/>
                <w:color w:val="000000"/>
                <w:sz w:val="16"/>
                <w:szCs w:val="16"/>
              </w:rPr>
              <w:t xml:space="preserve"> </w:t>
            </w:r>
          </w:p>
        </w:tc>
        <w:tc>
          <w:tcPr>
            <w:tcW w:w="848" w:type="dxa"/>
            <w:gridSpan w:val="2"/>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r w:rsidRPr="00B521F8">
              <w:rPr>
                <w:rFonts w:ascii="Cambria" w:eastAsia="Times New Roman" w:hAnsi="Cambria" w:cs="Times New Roman"/>
                <w:color w:val="000000"/>
                <w:sz w:val="16"/>
                <w:szCs w:val="16"/>
              </w:rPr>
              <w:t> </w:t>
            </w:r>
          </w:p>
        </w:tc>
        <w:tc>
          <w:tcPr>
            <w:tcW w:w="1552" w:type="dxa"/>
            <w:gridSpan w:val="3"/>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360" w:type="dxa"/>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375" w:type="dxa"/>
            <w:gridSpan w:val="2"/>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1410" w:type="dxa"/>
            <w:gridSpan w:val="4"/>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622" w:type="dxa"/>
            <w:gridSpan w:val="3"/>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286" w:type="dxa"/>
            <w:gridSpan w:val="2"/>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236" w:type="dxa"/>
            <w:gridSpan w:val="2"/>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849" w:type="dxa"/>
            <w:gridSpan w:val="4"/>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436" w:type="dxa"/>
            <w:gridSpan w:val="2"/>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847" w:type="dxa"/>
            <w:gridSpan w:val="2"/>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c>
          <w:tcPr>
            <w:tcW w:w="893" w:type="dxa"/>
            <w:gridSpan w:val="2"/>
            <w:tcBorders>
              <w:top w:val="nil"/>
              <w:left w:val="nil"/>
              <w:bottom w:val="nil"/>
              <w:right w:val="nil"/>
            </w:tcBorders>
            <w:shd w:val="clear" w:color="auto" w:fill="auto"/>
            <w:noWrap/>
            <w:vAlign w:val="bottom"/>
            <w:hideMark/>
          </w:tcPr>
          <w:p w:rsidR="00A74199" w:rsidRPr="00B521F8" w:rsidRDefault="00A74199" w:rsidP="00A74199">
            <w:pPr>
              <w:spacing w:after="0" w:line="240" w:lineRule="auto"/>
              <w:rPr>
                <w:rFonts w:ascii="Cambria" w:eastAsia="Times New Roman" w:hAnsi="Cambria" w:cs="Times New Roman"/>
                <w:color w:val="000000"/>
                <w:sz w:val="16"/>
                <w:szCs w:val="16"/>
              </w:rPr>
            </w:pPr>
          </w:p>
        </w:tc>
      </w:tr>
    </w:tbl>
    <w:p w:rsidR="00B521F8" w:rsidRDefault="00B521F8" w:rsidP="00A77BCB">
      <w:pPr>
        <w:spacing w:line="480" w:lineRule="auto"/>
        <w:ind w:firstLine="709"/>
        <w:rPr>
          <w:rFonts w:asciiTheme="majorHAnsi" w:hAnsiTheme="majorHAnsi" w:cstheme="majorBidi"/>
          <w:sz w:val="24"/>
          <w:szCs w:val="24"/>
        </w:rPr>
      </w:pPr>
    </w:p>
    <w:p w:rsidR="00270421" w:rsidRDefault="00A54555" w:rsidP="00A77BCB">
      <w:pPr>
        <w:spacing w:line="480" w:lineRule="auto"/>
        <w:ind w:firstLine="709"/>
        <w:rPr>
          <w:rFonts w:asciiTheme="majorHAnsi" w:hAnsiTheme="majorHAnsi" w:cstheme="majorBidi"/>
          <w:sz w:val="24"/>
          <w:szCs w:val="24"/>
        </w:rPr>
      </w:pPr>
      <w:r>
        <w:rPr>
          <w:rFonts w:asciiTheme="majorHAnsi" w:hAnsiTheme="majorHAnsi" w:cstheme="majorBidi"/>
          <w:sz w:val="24"/>
          <w:szCs w:val="24"/>
        </w:rPr>
        <w:t xml:space="preserve">Due to data limitation, it is quite difficult to estimate governorates' shares of these services and benefits.  The main source for Petroleum subsidies should come from the Yemen Petroleum Company (YPC), which </w:t>
      </w:r>
      <w:r w:rsidR="00E536FD">
        <w:rPr>
          <w:rFonts w:asciiTheme="majorHAnsi" w:hAnsiTheme="majorHAnsi" w:cstheme="majorBidi"/>
          <w:sz w:val="24"/>
          <w:szCs w:val="24"/>
        </w:rPr>
        <w:t xml:space="preserve">is responsible of selling and distributing fuel products.  Unfortunately, YPC </w:t>
      </w:r>
      <w:r>
        <w:rPr>
          <w:rFonts w:asciiTheme="majorHAnsi" w:hAnsiTheme="majorHAnsi" w:cstheme="majorBidi"/>
          <w:sz w:val="24"/>
          <w:szCs w:val="24"/>
        </w:rPr>
        <w:t xml:space="preserve">does not have data on governorates' consumption of fuel products because its local distribution outlets serve multi governorates </w:t>
      </w:r>
      <w:r w:rsidR="00262747">
        <w:rPr>
          <w:rFonts w:asciiTheme="majorHAnsi" w:hAnsiTheme="majorHAnsi" w:cstheme="majorBidi"/>
          <w:sz w:val="24"/>
          <w:szCs w:val="24"/>
        </w:rPr>
        <w:t xml:space="preserve">and </w:t>
      </w:r>
      <w:r>
        <w:rPr>
          <w:rFonts w:asciiTheme="majorHAnsi" w:hAnsiTheme="majorHAnsi" w:cstheme="majorBidi"/>
          <w:sz w:val="24"/>
          <w:szCs w:val="24"/>
        </w:rPr>
        <w:t>for private and public sectors</w:t>
      </w:r>
      <w:r w:rsidR="00262747">
        <w:rPr>
          <w:rFonts w:asciiTheme="majorHAnsi" w:hAnsiTheme="majorHAnsi" w:cstheme="majorBidi"/>
          <w:sz w:val="24"/>
          <w:szCs w:val="24"/>
        </w:rPr>
        <w:t xml:space="preserve"> combined</w:t>
      </w:r>
      <w:r>
        <w:rPr>
          <w:rFonts w:asciiTheme="majorHAnsi" w:hAnsiTheme="majorHAnsi" w:cstheme="majorBidi"/>
          <w:sz w:val="24"/>
          <w:szCs w:val="24"/>
        </w:rPr>
        <w:t>.</w:t>
      </w:r>
      <w:r w:rsidR="00262747">
        <w:rPr>
          <w:rFonts w:asciiTheme="majorHAnsi" w:hAnsiTheme="majorHAnsi" w:cstheme="majorBidi"/>
          <w:sz w:val="24"/>
          <w:szCs w:val="24"/>
        </w:rPr>
        <w:t xml:space="preserve"> Interest payments </w:t>
      </w:r>
      <w:r w:rsidR="00A77BCB">
        <w:rPr>
          <w:rFonts w:asciiTheme="majorHAnsi" w:hAnsiTheme="majorHAnsi" w:cstheme="majorBidi"/>
          <w:sz w:val="24"/>
          <w:szCs w:val="24"/>
        </w:rPr>
        <w:t xml:space="preserve">also </w:t>
      </w:r>
      <w:r w:rsidR="00262747">
        <w:rPr>
          <w:rFonts w:asciiTheme="majorHAnsi" w:hAnsiTheme="majorHAnsi" w:cstheme="majorBidi"/>
          <w:sz w:val="24"/>
          <w:szCs w:val="24"/>
        </w:rPr>
        <w:t xml:space="preserve">cannot be broken down per government spending because </w:t>
      </w:r>
      <w:r w:rsidR="00A77BCB">
        <w:rPr>
          <w:rFonts w:asciiTheme="majorHAnsi" w:hAnsiTheme="majorHAnsi" w:cstheme="majorBidi"/>
          <w:sz w:val="24"/>
          <w:szCs w:val="24"/>
        </w:rPr>
        <w:t xml:space="preserve">all </w:t>
      </w:r>
      <w:r w:rsidR="00262747">
        <w:rPr>
          <w:rFonts w:asciiTheme="majorHAnsi" w:hAnsiTheme="majorHAnsi" w:cstheme="majorBidi"/>
          <w:sz w:val="24"/>
          <w:szCs w:val="24"/>
        </w:rPr>
        <w:t xml:space="preserve">public domestic debt are </w:t>
      </w:r>
      <w:r w:rsidR="00A77BCB">
        <w:rPr>
          <w:rFonts w:asciiTheme="majorHAnsi" w:hAnsiTheme="majorHAnsi" w:cstheme="majorBidi"/>
          <w:sz w:val="24"/>
          <w:szCs w:val="24"/>
        </w:rPr>
        <w:t xml:space="preserve">directly </w:t>
      </w:r>
      <w:r w:rsidR="00262747">
        <w:rPr>
          <w:rFonts w:asciiTheme="majorHAnsi" w:hAnsiTheme="majorHAnsi" w:cstheme="majorBidi"/>
          <w:sz w:val="24"/>
          <w:szCs w:val="24"/>
        </w:rPr>
        <w:t>related to deficit financing and not related to specific expenditures</w:t>
      </w:r>
      <w:r w:rsidR="00A77BCB">
        <w:rPr>
          <w:rFonts w:asciiTheme="majorHAnsi" w:hAnsiTheme="majorHAnsi" w:cstheme="majorBidi"/>
          <w:sz w:val="24"/>
          <w:szCs w:val="24"/>
        </w:rPr>
        <w:t xml:space="preserve"> or programs</w:t>
      </w:r>
      <w:r w:rsidR="00262747">
        <w:rPr>
          <w:rFonts w:asciiTheme="majorHAnsi" w:hAnsiTheme="majorHAnsi" w:cstheme="majorBidi"/>
          <w:sz w:val="24"/>
          <w:szCs w:val="24"/>
        </w:rPr>
        <w:t xml:space="preserve">. </w:t>
      </w:r>
    </w:p>
    <w:p w:rsidR="00EE3296" w:rsidRDefault="00EE3296" w:rsidP="0049699C">
      <w:pPr>
        <w:rPr>
          <w:rFonts w:asciiTheme="majorHAnsi" w:hAnsiTheme="majorHAnsi" w:cstheme="majorBidi"/>
          <w:sz w:val="24"/>
          <w:szCs w:val="24"/>
        </w:rPr>
      </w:pPr>
    </w:p>
    <w:p w:rsidR="00EE3296" w:rsidRDefault="00EE3296" w:rsidP="0049699C">
      <w:pPr>
        <w:rPr>
          <w:rFonts w:asciiTheme="majorHAnsi" w:hAnsiTheme="majorHAnsi" w:cstheme="majorBidi"/>
          <w:sz w:val="24"/>
          <w:szCs w:val="24"/>
        </w:rPr>
      </w:pPr>
    </w:p>
    <w:p w:rsidR="00EE3296" w:rsidRDefault="00EE3296" w:rsidP="0049699C">
      <w:pPr>
        <w:rPr>
          <w:rFonts w:asciiTheme="majorHAnsi" w:hAnsiTheme="majorHAnsi" w:cstheme="majorBidi"/>
          <w:sz w:val="24"/>
          <w:szCs w:val="24"/>
        </w:rPr>
      </w:pPr>
    </w:p>
    <w:p w:rsidR="00097DD8" w:rsidRDefault="00097DD8" w:rsidP="0049699C">
      <w:pPr>
        <w:rPr>
          <w:rFonts w:asciiTheme="majorHAnsi" w:hAnsiTheme="majorHAnsi" w:cstheme="majorBidi"/>
          <w:sz w:val="24"/>
          <w:szCs w:val="24"/>
        </w:rPr>
      </w:pPr>
    </w:p>
    <w:p w:rsidR="00EE3296" w:rsidRPr="002657AE" w:rsidRDefault="00EE3296" w:rsidP="00EE3296">
      <w:pPr>
        <w:pStyle w:val="ListParagraph"/>
        <w:numPr>
          <w:ilvl w:val="0"/>
          <w:numId w:val="18"/>
        </w:numPr>
        <w:ind w:left="426"/>
        <w:rPr>
          <w:rFonts w:asciiTheme="majorHAnsi" w:hAnsiTheme="majorHAnsi" w:cstheme="majorBidi"/>
          <w:b/>
          <w:bCs/>
          <w:sz w:val="28"/>
          <w:szCs w:val="28"/>
        </w:rPr>
      </w:pPr>
      <w:r w:rsidRPr="002657AE">
        <w:rPr>
          <w:rFonts w:asciiTheme="majorHAnsi" w:hAnsiTheme="majorHAnsi" w:cstheme="majorBidi"/>
          <w:b/>
          <w:bCs/>
          <w:sz w:val="28"/>
          <w:szCs w:val="28"/>
        </w:rPr>
        <w:t>Typical Classification</w:t>
      </w:r>
      <w:r>
        <w:rPr>
          <w:rFonts w:asciiTheme="majorHAnsi" w:hAnsiTheme="majorHAnsi" w:cstheme="majorBidi"/>
          <w:b/>
          <w:bCs/>
          <w:sz w:val="28"/>
          <w:szCs w:val="28"/>
        </w:rPr>
        <w:t>s</w:t>
      </w:r>
      <w:r w:rsidR="00B646D5">
        <w:rPr>
          <w:rFonts w:asciiTheme="majorHAnsi" w:hAnsiTheme="majorHAnsi" w:cstheme="majorBidi"/>
          <w:b/>
          <w:bCs/>
          <w:sz w:val="28"/>
          <w:szCs w:val="28"/>
        </w:rPr>
        <w:t>:</w:t>
      </w:r>
    </w:p>
    <w:p w:rsidR="005472A8" w:rsidRPr="0072532F" w:rsidRDefault="004C1AA2" w:rsidP="0040736C">
      <w:pPr>
        <w:spacing w:line="480" w:lineRule="auto"/>
        <w:ind w:firstLine="709"/>
        <w:rPr>
          <w:rFonts w:asciiTheme="majorHAnsi" w:hAnsiTheme="majorHAnsi" w:cstheme="majorBidi"/>
          <w:sz w:val="24"/>
          <w:szCs w:val="24"/>
        </w:rPr>
      </w:pPr>
      <w:r w:rsidRPr="0072532F">
        <w:rPr>
          <w:rFonts w:asciiTheme="majorHAnsi" w:hAnsiTheme="majorHAnsi" w:cstheme="majorBidi"/>
          <w:sz w:val="24"/>
          <w:szCs w:val="24"/>
        </w:rPr>
        <w:t>Since 2007, Yemen fiscal budget</w:t>
      </w:r>
      <w:r w:rsidR="009B3350" w:rsidRPr="0072532F">
        <w:rPr>
          <w:rFonts w:asciiTheme="majorHAnsi" w:hAnsiTheme="majorHAnsi" w:cstheme="majorBidi"/>
          <w:sz w:val="24"/>
          <w:szCs w:val="24"/>
        </w:rPr>
        <w:t>s have</w:t>
      </w:r>
      <w:r w:rsidRPr="0072532F">
        <w:rPr>
          <w:rFonts w:asciiTheme="majorHAnsi" w:hAnsiTheme="majorHAnsi" w:cstheme="majorBidi"/>
          <w:sz w:val="24"/>
          <w:szCs w:val="24"/>
        </w:rPr>
        <w:t xml:space="preserve"> maintained a</w:t>
      </w:r>
      <w:r w:rsidR="008A6D20">
        <w:rPr>
          <w:rFonts w:asciiTheme="majorHAnsi" w:hAnsiTheme="majorHAnsi" w:cstheme="majorBidi"/>
          <w:sz w:val="24"/>
          <w:szCs w:val="24"/>
        </w:rPr>
        <w:t>n</w:t>
      </w:r>
      <w:r w:rsidRPr="0072532F">
        <w:rPr>
          <w:rFonts w:asciiTheme="majorHAnsi" w:hAnsiTheme="majorHAnsi" w:cstheme="majorBidi"/>
          <w:sz w:val="24"/>
          <w:szCs w:val="24"/>
        </w:rPr>
        <w:t xml:space="preserve"> </w:t>
      </w:r>
      <w:r w:rsidR="008A6D20">
        <w:rPr>
          <w:rFonts w:asciiTheme="majorHAnsi" w:hAnsiTheme="majorHAnsi" w:cstheme="majorBidi"/>
          <w:sz w:val="24"/>
          <w:szCs w:val="24"/>
        </w:rPr>
        <w:t xml:space="preserve">irregular </w:t>
      </w:r>
      <w:r w:rsidRPr="0072532F">
        <w:rPr>
          <w:rFonts w:asciiTheme="majorHAnsi" w:hAnsiTheme="majorHAnsi" w:cstheme="majorBidi"/>
          <w:sz w:val="24"/>
          <w:szCs w:val="24"/>
        </w:rPr>
        <w:t xml:space="preserve"> growth </w:t>
      </w:r>
      <w:r w:rsidR="00EE6925">
        <w:rPr>
          <w:rFonts w:asciiTheme="majorHAnsi" w:hAnsiTheme="majorHAnsi" w:cstheme="majorBidi"/>
          <w:sz w:val="24"/>
          <w:szCs w:val="24"/>
        </w:rPr>
        <w:t xml:space="preserve">especially in 2009 and 2011. Total </w:t>
      </w:r>
      <w:r w:rsidRPr="0072532F">
        <w:rPr>
          <w:rFonts w:asciiTheme="majorHAnsi" w:hAnsiTheme="majorHAnsi" w:cstheme="majorBidi"/>
          <w:sz w:val="24"/>
          <w:szCs w:val="24"/>
        </w:rPr>
        <w:t xml:space="preserve">revenues </w:t>
      </w:r>
      <w:r w:rsidR="00EE6925">
        <w:rPr>
          <w:rFonts w:asciiTheme="majorHAnsi" w:hAnsiTheme="majorHAnsi" w:cstheme="majorBidi"/>
          <w:sz w:val="24"/>
          <w:szCs w:val="24"/>
        </w:rPr>
        <w:t xml:space="preserve">and Grants has a 5-year growth rate of </w:t>
      </w:r>
      <w:r w:rsidRPr="0072532F">
        <w:rPr>
          <w:rFonts w:asciiTheme="majorHAnsi" w:hAnsiTheme="majorHAnsi" w:cstheme="majorBidi"/>
          <w:sz w:val="24"/>
          <w:szCs w:val="24"/>
        </w:rPr>
        <w:t>(</w:t>
      </w:r>
      <w:r w:rsidR="00B93EBC" w:rsidRPr="0072532F">
        <w:rPr>
          <w:rFonts w:asciiTheme="majorHAnsi" w:hAnsiTheme="majorHAnsi" w:cstheme="majorBidi"/>
          <w:sz w:val="24"/>
          <w:szCs w:val="24"/>
        </w:rPr>
        <w:t>8</w:t>
      </w:r>
      <w:r w:rsidRPr="0072532F">
        <w:rPr>
          <w:rFonts w:asciiTheme="majorHAnsi" w:hAnsiTheme="majorHAnsi" w:cstheme="majorBidi"/>
          <w:sz w:val="24"/>
          <w:szCs w:val="24"/>
        </w:rPr>
        <w:t>.</w:t>
      </w:r>
      <w:r w:rsidR="00B93EBC" w:rsidRPr="0072532F">
        <w:rPr>
          <w:rFonts w:asciiTheme="majorHAnsi" w:hAnsiTheme="majorHAnsi" w:cstheme="majorBidi"/>
          <w:sz w:val="24"/>
          <w:szCs w:val="24"/>
        </w:rPr>
        <w:t>2</w:t>
      </w:r>
      <w:r w:rsidRPr="0072532F">
        <w:rPr>
          <w:rFonts w:asciiTheme="majorHAnsi" w:hAnsiTheme="majorHAnsi" w:cstheme="majorBidi"/>
          <w:sz w:val="24"/>
          <w:szCs w:val="24"/>
        </w:rPr>
        <w:t xml:space="preserve">%), </w:t>
      </w:r>
      <w:r w:rsidR="00EE6925">
        <w:rPr>
          <w:rFonts w:asciiTheme="majorHAnsi" w:hAnsiTheme="majorHAnsi" w:cstheme="majorBidi"/>
          <w:sz w:val="24"/>
          <w:szCs w:val="24"/>
        </w:rPr>
        <w:t xml:space="preserve">total </w:t>
      </w:r>
      <w:r w:rsidRPr="0072532F">
        <w:rPr>
          <w:rFonts w:asciiTheme="majorHAnsi" w:hAnsiTheme="majorHAnsi" w:cstheme="majorBidi"/>
          <w:sz w:val="24"/>
          <w:szCs w:val="24"/>
        </w:rPr>
        <w:t>expendi</w:t>
      </w:r>
      <w:r w:rsidR="00EE6925">
        <w:rPr>
          <w:rFonts w:asciiTheme="majorHAnsi" w:hAnsiTheme="majorHAnsi" w:cstheme="majorBidi"/>
          <w:sz w:val="24"/>
          <w:szCs w:val="24"/>
        </w:rPr>
        <w:t>ng</w:t>
      </w:r>
      <w:r w:rsidRPr="0072532F">
        <w:rPr>
          <w:rFonts w:asciiTheme="majorHAnsi" w:hAnsiTheme="majorHAnsi" w:cstheme="majorBidi"/>
          <w:sz w:val="24"/>
          <w:szCs w:val="24"/>
        </w:rPr>
        <w:t xml:space="preserve"> (</w:t>
      </w:r>
      <w:r w:rsidR="00B93EBC" w:rsidRPr="0072532F">
        <w:rPr>
          <w:rFonts w:asciiTheme="majorHAnsi" w:hAnsiTheme="majorHAnsi" w:cstheme="majorBidi"/>
          <w:sz w:val="24"/>
          <w:szCs w:val="24"/>
        </w:rPr>
        <w:t>7.4</w:t>
      </w:r>
      <w:r w:rsidR="009459BD" w:rsidRPr="0072532F">
        <w:rPr>
          <w:rFonts w:asciiTheme="majorHAnsi" w:hAnsiTheme="majorHAnsi" w:cstheme="majorBidi"/>
          <w:sz w:val="24"/>
          <w:szCs w:val="24"/>
        </w:rPr>
        <w:t>%) and fiscal deficits (</w:t>
      </w:r>
      <w:r w:rsidR="00B93EBC" w:rsidRPr="0072532F">
        <w:rPr>
          <w:rFonts w:asciiTheme="majorHAnsi" w:hAnsiTheme="majorHAnsi" w:cstheme="majorBidi"/>
          <w:sz w:val="24"/>
          <w:szCs w:val="24"/>
        </w:rPr>
        <w:t>3.2</w:t>
      </w:r>
      <w:r w:rsidR="009459BD" w:rsidRPr="0072532F">
        <w:rPr>
          <w:rFonts w:asciiTheme="majorHAnsi" w:hAnsiTheme="majorHAnsi" w:cstheme="majorBidi"/>
          <w:sz w:val="24"/>
          <w:szCs w:val="24"/>
        </w:rPr>
        <w:t>%).</w:t>
      </w:r>
      <w:r w:rsidR="003E4E57" w:rsidRPr="0072532F">
        <w:rPr>
          <w:rFonts w:asciiTheme="majorHAnsi" w:hAnsiTheme="majorHAnsi" w:cstheme="majorBidi"/>
          <w:sz w:val="24"/>
          <w:szCs w:val="24"/>
        </w:rPr>
        <w:t xml:space="preserve"> From Table </w:t>
      </w:r>
      <w:r w:rsidR="0040736C">
        <w:rPr>
          <w:rFonts w:asciiTheme="majorHAnsi" w:hAnsiTheme="majorHAnsi" w:cstheme="majorBidi"/>
          <w:sz w:val="24"/>
          <w:szCs w:val="24"/>
        </w:rPr>
        <w:t>3</w:t>
      </w:r>
      <w:r w:rsidR="003E4E57" w:rsidRPr="0072532F">
        <w:rPr>
          <w:rFonts w:asciiTheme="majorHAnsi" w:hAnsiTheme="majorHAnsi" w:cstheme="majorBidi"/>
          <w:sz w:val="24"/>
          <w:szCs w:val="24"/>
        </w:rPr>
        <w:t xml:space="preserve">, budget items in US dollars have growth rates less than the growth rates in Yemeni Riyals by 1.6% across all items. The </w:t>
      </w:r>
      <w:r w:rsidR="009B3350" w:rsidRPr="0072532F">
        <w:rPr>
          <w:rFonts w:asciiTheme="majorHAnsi" w:hAnsiTheme="majorHAnsi" w:cstheme="majorBidi"/>
          <w:sz w:val="24"/>
          <w:szCs w:val="24"/>
        </w:rPr>
        <w:t>escalating</w:t>
      </w:r>
      <w:r w:rsidR="003E4E57" w:rsidRPr="0072532F">
        <w:rPr>
          <w:rFonts w:asciiTheme="majorHAnsi" w:hAnsiTheme="majorHAnsi" w:cstheme="majorBidi"/>
          <w:sz w:val="24"/>
          <w:szCs w:val="24"/>
        </w:rPr>
        <w:t xml:space="preserve"> fiscal </w:t>
      </w:r>
      <w:r w:rsidR="009B3350" w:rsidRPr="0072532F">
        <w:rPr>
          <w:rFonts w:asciiTheme="majorHAnsi" w:hAnsiTheme="majorHAnsi" w:cstheme="majorBidi"/>
          <w:sz w:val="24"/>
          <w:szCs w:val="24"/>
        </w:rPr>
        <w:t>deficits</w:t>
      </w:r>
      <w:r w:rsidR="003E4E57" w:rsidRPr="0072532F">
        <w:rPr>
          <w:rFonts w:asciiTheme="majorHAnsi" w:hAnsiTheme="majorHAnsi" w:cstheme="majorBidi"/>
          <w:sz w:val="24"/>
          <w:szCs w:val="24"/>
        </w:rPr>
        <w:t xml:space="preserve"> are due to the </w:t>
      </w:r>
      <w:r w:rsidR="009B3350" w:rsidRPr="0072532F">
        <w:rPr>
          <w:rFonts w:asciiTheme="majorHAnsi" w:hAnsiTheme="majorHAnsi" w:cstheme="majorBidi"/>
          <w:sz w:val="24"/>
          <w:szCs w:val="24"/>
        </w:rPr>
        <w:t xml:space="preserve">shortfall of revenues to fund expenditures.  Total revenues finance 82% of total expenditures (a 5-year historical average rate) and growing at a pace greater than total expenditures by </w:t>
      </w:r>
      <w:r w:rsidR="00EE6925">
        <w:rPr>
          <w:rFonts w:asciiTheme="majorHAnsi" w:hAnsiTheme="majorHAnsi" w:cstheme="majorBidi"/>
          <w:sz w:val="24"/>
          <w:szCs w:val="24"/>
        </w:rPr>
        <w:t xml:space="preserve">only </w:t>
      </w:r>
      <w:r w:rsidR="009B3350" w:rsidRPr="0072532F">
        <w:rPr>
          <w:rFonts w:asciiTheme="majorHAnsi" w:hAnsiTheme="majorHAnsi" w:cstheme="majorBidi"/>
          <w:sz w:val="24"/>
          <w:szCs w:val="24"/>
        </w:rPr>
        <w:t xml:space="preserve">0.9%. </w:t>
      </w:r>
    </w:p>
    <w:tbl>
      <w:tblPr>
        <w:tblW w:w="11161" w:type="dxa"/>
        <w:tblInd w:w="-601" w:type="dxa"/>
        <w:tblLook w:val="04A0"/>
      </w:tblPr>
      <w:tblGrid>
        <w:gridCol w:w="3037"/>
        <w:gridCol w:w="1216"/>
        <w:gridCol w:w="1276"/>
        <w:gridCol w:w="1220"/>
        <w:gridCol w:w="1160"/>
        <w:gridCol w:w="1080"/>
        <w:gridCol w:w="1180"/>
        <w:gridCol w:w="992"/>
      </w:tblGrid>
      <w:tr w:rsidR="00B93EBC" w:rsidRPr="0072532F" w:rsidTr="006F2C42">
        <w:trPr>
          <w:trHeight w:val="450"/>
        </w:trPr>
        <w:tc>
          <w:tcPr>
            <w:tcW w:w="7909" w:type="dxa"/>
            <w:gridSpan w:val="5"/>
            <w:tcBorders>
              <w:top w:val="nil"/>
              <w:left w:val="nil"/>
              <w:bottom w:val="nil"/>
              <w:right w:val="nil"/>
            </w:tcBorders>
            <w:shd w:val="clear" w:color="auto" w:fill="auto"/>
            <w:noWrap/>
            <w:vAlign w:val="center"/>
            <w:hideMark/>
          </w:tcPr>
          <w:p w:rsidR="00B93EBC" w:rsidRPr="0072532F" w:rsidRDefault="00B93EBC" w:rsidP="0040736C">
            <w:pPr>
              <w:spacing w:after="0" w:line="240" w:lineRule="auto"/>
              <w:ind w:left="317"/>
              <w:rPr>
                <w:rFonts w:asciiTheme="majorHAnsi" w:eastAsia="Times New Roman" w:hAnsiTheme="majorHAnsi" w:cs="Times"/>
                <w:b/>
                <w:bCs/>
                <w:color w:val="000000"/>
                <w:sz w:val="36"/>
                <w:szCs w:val="36"/>
              </w:rPr>
            </w:pPr>
            <w:r w:rsidRPr="0072532F">
              <w:rPr>
                <w:rFonts w:asciiTheme="majorHAnsi" w:eastAsia="Times New Roman" w:hAnsiTheme="majorHAnsi" w:cs="Times"/>
                <w:color w:val="000000"/>
                <w:sz w:val="24"/>
                <w:szCs w:val="24"/>
              </w:rPr>
              <w:t xml:space="preserve">Table </w:t>
            </w:r>
            <w:r w:rsidR="0040736C">
              <w:rPr>
                <w:rFonts w:asciiTheme="majorHAnsi" w:eastAsia="Times New Roman" w:hAnsiTheme="majorHAnsi" w:cs="Times"/>
                <w:color w:val="000000"/>
                <w:sz w:val="24"/>
                <w:szCs w:val="24"/>
              </w:rPr>
              <w:t>3</w:t>
            </w:r>
            <w:r w:rsidRPr="0072532F">
              <w:rPr>
                <w:rFonts w:asciiTheme="majorHAnsi" w:eastAsia="Times New Roman" w:hAnsiTheme="majorHAnsi" w:cs="Times"/>
                <w:color w:val="000000"/>
                <w:sz w:val="24"/>
                <w:szCs w:val="24"/>
              </w:rPr>
              <w:t>:</w:t>
            </w:r>
            <w:r w:rsidRPr="0072532F">
              <w:rPr>
                <w:rFonts w:asciiTheme="majorHAnsi" w:eastAsia="Times New Roman" w:hAnsiTheme="majorHAnsi" w:cs="Times"/>
                <w:b/>
                <w:bCs/>
                <w:i/>
                <w:iCs/>
                <w:color w:val="000000"/>
                <w:sz w:val="24"/>
                <w:szCs w:val="24"/>
              </w:rPr>
              <w:t>Overview of Fiscal Budgets</w:t>
            </w:r>
          </w:p>
        </w:tc>
        <w:tc>
          <w:tcPr>
            <w:tcW w:w="1080" w:type="dxa"/>
            <w:tcBorders>
              <w:top w:val="nil"/>
              <w:left w:val="nil"/>
              <w:bottom w:val="nil"/>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p>
        </w:tc>
        <w:tc>
          <w:tcPr>
            <w:tcW w:w="1180" w:type="dxa"/>
            <w:tcBorders>
              <w:top w:val="nil"/>
              <w:left w:val="nil"/>
              <w:bottom w:val="nil"/>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p>
        </w:tc>
        <w:tc>
          <w:tcPr>
            <w:tcW w:w="992" w:type="dxa"/>
            <w:tcBorders>
              <w:top w:val="nil"/>
              <w:left w:val="nil"/>
              <w:bottom w:val="nil"/>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p>
        </w:tc>
      </w:tr>
      <w:tr w:rsidR="00B93EBC" w:rsidRPr="0072532F" w:rsidTr="006F2C42">
        <w:trPr>
          <w:trHeight w:val="390"/>
        </w:trPr>
        <w:tc>
          <w:tcPr>
            <w:tcW w:w="7909" w:type="dxa"/>
            <w:gridSpan w:val="5"/>
            <w:tcBorders>
              <w:top w:val="nil"/>
              <w:left w:val="nil"/>
              <w:bottom w:val="nil"/>
              <w:right w:val="nil"/>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sz w:val="20"/>
                <w:szCs w:val="20"/>
              </w:rPr>
            </w:pPr>
            <w:r w:rsidRPr="0072532F">
              <w:rPr>
                <w:rFonts w:asciiTheme="majorHAnsi" w:eastAsia="Times New Roman" w:hAnsiTheme="majorHAnsi" w:cs="Times"/>
                <w:color w:val="000000"/>
                <w:sz w:val="20"/>
                <w:szCs w:val="20"/>
              </w:rPr>
              <w:t>(In millions)</w:t>
            </w:r>
          </w:p>
        </w:tc>
        <w:tc>
          <w:tcPr>
            <w:tcW w:w="1080" w:type="dxa"/>
            <w:tcBorders>
              <w:top w:val="nil"/>
              <w:left w:val="nil"/>
              <w:bottom w:val="nil"/>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p>
        </w:tc>
        <w:tc>
          <w:tcPr>
            <w:tcW w:w="1180" w:type="dxa"/>
            <w:tcBorders>
              <w:top w:val="nil"/>
              <w:left w:val="nil"/>
              <w:bottom w:val="nil"/>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p>
        </w:tc>
        <w:tc>
          <w:tcPr>
            <w:tcW w:w="992" w:type="dxa"/>
            <w:tcBorders>
              <w:top w:val="nil"/>
              <w:left w:val="nil"/>
              <w:bottom w:val="nil"/>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p>
        </w:tc>
      </w:tr>
      <w:tr w:rsidR="00B93EBC" w:rsidRPr="0072532F" w:rsidTr="006F2C42">
        <w:trPr>
          <w:trHeight w:val="390"/>
        </w:trPr>
        <w:tc>
          <w:tcPr>
            <w:tcW w:w="3037" w:type="dxa"/>
            <w:tcBorders>
              <w:top w:val="single" w:sz="8" w:space="0" w:color="auto"/>
              <w:left w:val="single" w:sz="8" w:space="0" w:color="auto"/>
              <w:bottom w:val="single" w:sz="8" w:space="0" w:color="auto"/>
              <w:right w:val="single" w:sz="4" w:space="0" w:color="auto"/>
            </w:tcBorders>
            <w:shd w:val="clear" w:color="000000" w:fill="000000"/>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FFFFFF"/>
                <w:sz w:val="24"/>
                <w:szCs w:val="24"/>
              </w:rPr>
            </w:pPr>
            <w:r w:rsidRPr="0072532F">
              <w:rPr>
                <w:rFonts w:asciiTheme="majorHAnsi" w:eastAsia="Times New Roman" w:hAnsiTheme="majorHAnsi" w:cs="Times"/>
                <w:b/>
                <w:bCs/>
                <w:color w:val="FFFFFF"/>
                <w:sz w:val="24"/>
                <w:szCs w:val="24"/>
              </w:rPr>
              <w:t>In YR</w:t>
            </w:r>
          </w:p>
        </w:tc>
        <w:tc>
          <w:tcPr>
            <w:tcW w:w="1216" w:type="dxa"/>
            <w:tcBorders>
              <w:top w:val="single" w:sz="8" w:space="0" w:color="auto"/>
              <w:left w:val="nil"/>
              <w:bottom w:val="single" w:sz="8"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2007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2008</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2009</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2010</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2011</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2012*</w:t>
            </w:r>
          </w:p>
        </w:tc>
        <w:tc>
          <w:tcPr>
            <w:tcW w:w="992" w:type="dxa"/>
            <w:tcBorders>
              <w:top w:val="single" w:sz="8" w:space="0" w:color="auto"/>
              <w:left w:val="nil"/>
              <w:bottom w:val="single" w:sz="8" w:space="0" w:color="auto"/>
              <w:right w:val="single" w:sz="8" w:space="0" w:color="auto"/>
            </w:tcBorders>
            <w:shd w:val="clear" w:color="000000" w:fill="D8D8D8"/>
            <w:noWrap/>
            <w:vAlign w:val="bottom"/>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Growth Rate</w:t>
            </w:r>
          </w:p>
        </w:tc>
      </w:tr>
      <w:tr w:rsidR="00B93EBC" w:rsidRPr="0072532F" w:rsidTr="006F2C42">
        <w:trPr>
          <w:trHeight w:val="300"/>
        </w:trPr>
        <w:tc>
          <w:tcPr>
            <w:tcW w:w="3037" w:type="dxa"/>
            <w:tcBorders>
              <w:top w:val="nil"/>
              <w:left w:val="single" w:sz="8" w:space="0" w:color="auto"/>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Total Revenues And Grants</w:t>
            </w:r>
          </w:p>
        </w:tc>
        <w:tc>
          <w:tcPr>
            <w:tcW w:w="1216" w:type="dxa"/>
            <w:tcBorders>
              <w:top w:val="nil"/>
              <w:left w:val="nil"/>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1429017</w:t>
            </w:r>
          </w:p>
        </w:tc>
        <w:tc>
          <w:tcPr>
            <w:tcW w:w="1276" w:type="dxa"/>
            <w:tcBorders>
              <w:top w:val="nil"/>
              <w:left w:val="nil"/>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1993251</w:t>
            </w:r>
          </w:p>
        </w:tc>
        <w:tc>
          <w:tcPr>
            <w:tcW w:w="1220" w:type="dxa"/>
            <w:tcBorders>
              <w:top w:val="nil"/>
              <w:left w:val="nil"/>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1306151</w:t>
            </w:r>
          </w:p>
        </w:tc>
        <w:tc>
          <w:tcPr>
            <w:tcW w:w="1160" w:type="dxa"/>
            <w:tcBorders>
              <w:top w:val="nil"/>
              <w:left w:val="nil"/>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1812385</w:t>
            </w:r>
          </w:p>
        </w:tc>
        <w:tc>
          <w:tcPr>
            <w:tcW w:w="1080" w:type="dxa"/>
            <w:tcBorders>
              <w:top w:val="nil"/>
              <w:left w:val="nil"/>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jc w:val="right"/>
              <w:rPr>
                <w:rFonts w:asciiTheme="majorHAnsi" w:eastAsia="Times New Roman" w:hAnsiTheme="majorHAnsi" w:cs="Times"/>
                <w:color w:val="000000"/>
              </w:rPr>
            </w:pPr>
            <w:r w:rsidRPr="0072532F">
              <w:rPr>
                <w:rFonts w:asciiTheme="majorHAnsi" w:eastAsia="Times New Roman" w:hAnsiTheme="majorHAnsi" w:cs="Times"/>
                <w:color w:val="000000"/>
              </w:rPr>
              <w:t>1745576</w:t>
            </w:r>
          </w:p>
        </w:tc>
        <w:tc>
          <w:tcPr>
            <w:tcW w:w="1180" w:type="dxa"/>
            <w:tcBorders>
              <w:top w:val="nil"/>
              <w:left w:val="nil"/>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jc w:val="right"/>
              <w:rPr>
                <w:rFonts w:asciiTheme="majorHAnsi" w:eastAsia="Times New Roman" w:hAnsiTheme="majorHAnsi" w:cs="Times"/>
                <w:color w:val="000000"/>
              </w:rPr>
            </w:pPr>
            <w:r w:rsidRPr="0072532F">
              <w:rPr>
                <w:rFonts w:asciiTheme="majorHAnsi" w:eastAsia="Times New Roman" w:hAnsiTheme="majorHAnsi" w:cs="Times"/>
                <w:color w:val="000000"/>
              </w:rPr>
              <w:t>2124004</w:t>
            </w:r>
          </w:p>
        </w:tc>
        <w:tc>
          <w:tcPr>
            <w:tcW w:w="992" w:type="dxa"/>
            <w:tcBorders>
              <w:top w:val="nil"/>
              <w:left w:val="single" w:sz="8" w:space="0" w:color="auto"/>
              <w:bottom w:val="single" w:sz="4" w:space="0" w:color="auto"/>
              <w:right w:val="single" w:sz="8"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8.2%</w:t>
            </w:r>
          </w:p>
        </w:tc>
      </w:tr>
      <w:tr w:rsidR="00B93EBC" w:rsidRPr="0072532F" w:rsidTr="006F2C42">
        <w:trPr>
          <w:trHeight w:val="300"/>
        </w:trPr>
        <w:tc>
          <w:tcPr>
            <w:tcW w:w="3037" w:type="dxa"/>
            <w:tcBorders>
              <w:top w:val="nil"/>
              <w:left w:val="single" w:sz="8" w:space="0" w:color="auto"/>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b/>
                <w:bCs/>
                <w:color w:val="000000"/>
              </w:rPr>
            </w:pPr>
            <w:r w:rsidRPr="0072532F">
              <w:rPr>
                <w:rFonts w:asciiTheme="majorHAnsi" w:eastAsia="Times New Roman" w:hAnsiTheme="majorHAnsi" w:cs="Times"/>
                <w:b/>
                <w:bCs/>
                <w:color w:val="000000"/>
              </w:rPr>
              <w:t>Total  Expending</w:t>
            </w:r>
          </w:p>
        </w:tc>
        <w:tc>
          <w:tcPr>
            <w:tcW w:w="1216" w:type="dxa"/>
            <w:tcBorders>
              <w:top w:val="nil"/>
              <w:left w:val="nil"/>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1754782</w:t>
            </w:r>
          </w:p>
        </w:tc>
        <w:tc>
          <w:tcPr>
            <w:tcW w:w="1276" w:type="dxa"/>
            <w:tcBorders>
              <w:top w:val="nil"/>
              <w:left w:val="nil"/>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2248166</w:t>
            </w:r>
          </w:p>
        </w:tc>
        <w:tc>
          <w:tcPr>
            <w:tcW w:w="1220" w:type="dxa"/>
            <w:tcBorders>
              <w:top w:val="nil"/>
              <w:left w:val="nil"/>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1847960</w:t>
            </w:r>
          </w:p>
        </w:tc>
        <w:tc>
          <w:tcPr>
            <w:tcW w:w="1160" w:type="dxa"/>
            <w:tcBorders>
              <w:top w:val="nil"/>
              <w:left w:val="nil"/>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2115428</w:t>
            </w:r>
          </w:p>
        </w:tc>
        <w:tc>
          <w:tcPr>
            <w:tcW w:w="1080" w:type="dxa"/>
            <w:tcBorders>
              <w:top w:val="nil"/>
              <w:left w:val="nil"/>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jc w:val="right"/>
              <w:rPr>
                <w:rFonts w:asciiTheme="majorHAnsi" w:eastAsia="Times New Roman" w:hAnsiTheme="majorHAnsi" w:cs="Times"/>
                <w:color w:val="000000"/>
              </w:rPr>
            </w:pPr>
            <w:r w:rsidRPr="0072532F">
              <w:rPr>
                <w:rFonts w:asciiTheme="majorHAnsi" w:eastAsia="Times New Roman" w:hAnsiTheme="majorHAnsi" w:cs="Times"/>
                <w:color w:val="000000"/>
              </w:rPr>
              <w:t>2097352</w:t>
            </w:r>
          </w:p>
        </w:tc>
        <w:tc>
          <w:tcPr>
            <w:tcW w:w="1180" w:type="dxa"/>
            <w:tcBorders>
              <w:top w:val="nil"/>
              <w:left w:val="nil"/>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jc w:val="right"/>
              <w:rPr>
                <w:rFonts w:asciiTheme="majorHAnsi" w:eastAsia="Times New Roman" w:hAnsiTheme="majorHAnsi" w:cs="Times"/>
                <w:color w:val="000000"/>
              </w:rPr>
            </w:pPr>
            <w:r w:rsidRPr="0072532F">
              <w:rPr>
                <w:rFonts w:asciiTheme="majorHAnsi" w:eastAsia="Times New Roman" w:hAnsiTheme="majorHAnsi" w:cs="Times"/>
                <w:color w:val="000000"/>
              </w:rPr>
              <w:t>2504427</w:t>
            </w:r>
          </w:p>
        </w:tc>
        <w:tc>
          <w:tcPr>
            <w:tcW w:w="992" w:type="dxa"/>
            <w:tcBorders>
              <w:top w:val="nil"/>
              <w:left w:val="single" w:sz="8" w:space="0" w:color="auto"/>
              <w:bottom w:val="single" w:sz="4" w:space="0" w:color="auto"/>
              <w:right w:val="single" w:sz="8"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7.4%</w:t>
            </w:r>
          </w:p>
        </w:tc>
      </w:tr>
      <w:tr w:rsidR="00B93EBC" w:rsidRPr="0072532F" w:rsidTr="006F2C42">
        <w:trPr>
          <w:trHeight w:val="315"/>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Surplus/Deficit</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EBC" w:rsidRPr="0072532F" w:rsidRDefault="00B93EBC" w:rsidP="006F2C42">
            <w:pPr>
              <w:spacing w:after="0" w:line="240" w:lineRule="auto"/>
              <w:rPr>
                <w:rFonts w:asciiTheme="majorHAnsi" w:eastAsia="Times New Roman" w:hAnsiTheme="majorHAnsi" w:cs="Times"/>
                <w:b/>
                <w:bCs/>
                <w:color w:val="000000"/>
              </w:rPr>
            </w:pPr>
            <w:r w:rsidRPr="0072532F">
              <w:rPr>
                <w:rFonts w:asciiTheme="majorHAnsi" w:eastAsia="Times New Roman" w:hAnsiTheme="majorHAnsi" w:cs="Times"/>
                <w:b/>
                <w:bCs/>
                <w:color w:val="000000"/>
              </w:rPr>
              <w:t>-325765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-254915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-541809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-303043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jc w:val="right"/>
              <w:rPr>
                <w:rFonts w:asciiTheme="majorHAnsi" w:eastAsia="Times New Roman" w:hAnsiTheme="majorHAnsi" w:cs="Times"/>
                <w:b/>
                <w:bCs/>
                <w:color w:val="000000"/>
              </w:rPr>
            </w:pPr>
            <w:r w:rsidRPr="0072532F">
              <w:rPr>
                <w:rFonts w:asciiTheme="majorHAnsi" w:eastAsia="Times New Roman" w:hAnsiTheme="majorHAnsi" w:cs="Times"/>
                <w:b/>
                <w:bCs/>
                <w:color w:val="000000"/>
              </w:rPr>
              <w:t>-351776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jc w:val="right"/>
              <w:rPr>
                <w:rFonts w:asciiTheme="majorHAnsi" w:eastAsia="Times New Roman" w:hAnsiTheme="majorHAnsi" w:cs="Times"/>
                <w:b/>
                <w:bCs/>
                <w:color w:val="000000"/>
              </w:rPr>
            </w:pPr>
            <w:r w:rsidRPr="0072532F">
              <w:rPr>
                <w:rFonts w:asciiTheme="majorHAnsi" w:eastAsia="Times New Roman" w:hAnsiTheme="majorHAnsi" w:cs="Times"/>
                <w:b/>
                <w:bCs/>
                <w:color w:val="000000"/>
              </w:rPr>
              <w:t>-380423</w:t>
            </w:r>
          </w:p>
        </w:tc>
        <w:tc>
          <w:tcPr>
            <w:tcW w:w="99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3.2%</w:t>
            </w:r>
          </w:p>
        </w:tc>
      </w:tr>
      <w:tr w:rsidR="00B93EBC" w:rsidRPr="0072532F" w:rsidTr="006F2C42">
        <w:trPr>
          <w:trHeight w:val="165"/>
        </w:trPr>
        <w:tc>
          <w:tcPr>
            <w:tcW w:w="3037" w:type="dxa"/>
            <w:tcBorders>
              <w:top w:val="single" w:sz="4" w:space="0" w:color="auto"/>
              <w:left w:val="single" w:sz="8" w:space="0" w:color="auto"/>
              <w:bottom w:val="nil"/>
              <w:right w:val="nil"/>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 </w:t>
            </w:r>
          </w:p>
        </w:tc>
        <w:tc>
          <w:tcPr>
            <w:tcW w:w="1216" w:type="dxa"/>
            <w:tcBorders>
              <w:top w:val="single" w:sz="4" w:space="0" w:color="auto"/>
              <w:left w:val="nil"/>
              <w:bottom w:val="nil"/>
              <w:right w:val="single" w:sz="4" w:space="0" w:color="auto"/>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 </w:t>
            </w:r>
          </w:p>
        </w:tc>
        <w:tc>
          <w:tcPr>
            <w:tcW w:w="1276" w:type="dxa"/>
            <w:tcBorders>
              <w:top w:val="single" w:sz="4" w:space="0" w:color="auto"/>
              <w:left w:val="nil"/>
              <w:bottom w:val="nil"/>
              <w:right w:val="single" w:sz="4" w:space="0" w:color="auto"/>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 </w:t>
            </w:r>
          </w:p>
        </w:tc>
        <w:tc>
          <w:tcPr>
            <w:tcW w:w="1220" w:type="dxa"/>
            <w:tcBorders>
              <w:top w:val="single" w:sz="4" w:space="0" w:color="auto"/>
              <w:left w:val="nil"/>
              <w:bottom w:val="nil"/>
              <w:right w:val="single" w:sz="4" w:space="0" w:color="auto"/>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 </w:t>
            </w:r>
          </w:p>
        </w:tc>
        <w:tc>
          <w:tcPr>
            <w:tcW w:w="1160" w:type="dxa"/>
            <w:tcBorders>
              <w:top w:val="single" w:sz="4" w:space="0" w:color="auto"/>
              <w:left w:val="nil"/>
              <w:bottom w:val="nil"/>
              <w:right w:val="single" w:sz="4" w:space="0" w:color="auto"/>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color w:val="000000"/>
              </w:rPr>
            </w:pPr>
            <w:r w:rsidRPr="0072532F">
              <w:rPr>
                <w:rFonts w:asciiTheme="majorHAnsi" w:eastAsia="Times New Roman" w:hAnsiTheme="majorHAnsi" w:cs="Times"/>
                <w:color w:val="000000"/>
              </w:rPr>
              <w:t> </w:t>
            </w:r>
          </w:p>
        </w:tc>
        <w:tc>
          <w:tcPr>
            <w:tcW w:w="1080" w:type="dxa"/>
            <w:tcBorders>
              <w:top w:val="single" w:sz="4" w:space="0" w:color="auto"/>
              <w:left w:val="nil"/>
              <w:bottom w:val="nil"/>
              <w:right w:val="single" w:sz="4" w:space="0" w:color="auto"/>
            </w:tcBorders>
            <w:shd w:val="clear" w:color="000000" w:fill="F2F2F2"/>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w:t>
            </w:r>
          </w:p>
        </w:tc>
        <w:tc>
          <w:tcPr>
            <w:tcW w:w="1180" w:type="dxa"/>
            <w:tcBorders>
              <w:top w:val="single" w:sz="4" w:space="0" w:color="auto"/>
              <w:left w:val="nil"/>
              <w:bottom w:val="nil"/>
              <w:right w:val="nil"/>
            </w:tcBorders>
            <w:shd w:val="clear" w:color="000000" w:fill="F2F2F2"/>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w:t>
            </w:r>
          </w:p>
        </w:tc>
        <w:tc>
          <w:tcPr>
            <w:tcW w:w="992" w:type="dxa"/>
            <w:tcBorders>
              <w:top w:val="single" w:sz="4" w:space="0" w:color="auto"/>
              <w:left w:val="nil"/>
              <w:bottom w:val="nil"/>
              <w:right w:val="single" w:sz="8" w:space="0" w:color="auto"/>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p>
        </w:tc>
      </w:tr>
      <w:tr w:rsidR="00B93EBC" w:rsidRPr="0072532F" w:rsidTr="006F2C42">
        <w:trPr>
          <w:trHeight w:val="300"/>
        </w:trPr>
        <w:tc>
          <w:tcPr>
            <w:tcW w:w="3037"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b/>
                <w:bCs/>
              </w:rPr>
            </w:pPr>
            <w:r w:rsidRPr="0072532F">
              <w:rPr>
                <w:rFonts w:asciiTheme="majorHAnsi" w:eastAsia="Times New Roman" w:hAnsiTheme="majorHAnsi" w:cs="Times"/>
                <w:b/>
                <w:bCs/>
              </w:rPr>
              <w:t>Annual Inflation Rate</w:t>
            </w:r>
          </w:p>
        </w:tc>
        <w:tc>
          <w:tcPr>
            <w:tcW w:w="1216" w:type="dxa"/>
            <w:tcBorders>
              <w:top w:val="single" w:sz="8" w:space="0" w:color="auto"/>
              <w:left w:val="nil"/>
              <w:bottom w:val="single" w:sz="4"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heme="majorBidi"/>
              </w:rPr>
            </w:pPr>
            <w:r w:rsidRPr="0072532F">
              <w:rPr>
                <w:rFonts w:asciiTheme="majorHAnsi" w:eastAsia="Times New Roman" w:hAnsiTheme="majorHAnsi" w:cstheme="majorBidi"/>
              </w:rPr>
              <w:t>9.64</w:t>
            </w:r>
          </w:p>
        </w:tc>
        <w:tc>
          <w:tcPr>
            <w:tcW w:w="1276" w:type="dxa"/>
            <w:tcBorders>
              <w:top w:val="single" w:sz="8" w:space="0" w:color="auto"/>
              <w:left w:val="nil"/>
              <w:bottom w:val="single" w:sz="4"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heme="majorBidi"/>
              </w:rPr>
            </w:pPr>
            <w:r w:rsidRPr="0072532F">
              <w:rPr>
                <w:rFonts w:asciiTheme="majorHAnsi" w:eastAsia="Times New Roman" w:hAnsiTheme="majorHAnsi" w:cstheme="majorBidi"/>
              </w:rPr>
              <w:t>14.47</w:t>
            </w:r>
          </w:p>
        </w:tc>
        <w:tc>
          <w:tcPr>
            <w:tcW w:w="1220" w:type="dxa"/>
            <w:tcBorders>
              <w:top w:val="single" w:sz="8" w:space="0" w:color="auto"/>
              <w:left w:val="nil"/>
              <w:bottom w:val="single" w:sz="4"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heme="majorBidi"/>
              </w:rPr>
            </w:pPr>
            <w:r w:rsidRPr="0072532F">
              <w:rPr>
                <w:rFonts w:asciiTheme="majorHAnsi" w:eastAsia="Times New Roman" w:hAnsiTheme="majorHAnsi" w:cstheme="majorBidi"/>
              </w:rPr>
              <w:t>-10.06</w:t>
            </w:r>
          </w:p>
        </w:tc>
        <w:tc>
          <w:tcPr>
            <w:tcW w:w="1160" w:type="dxa"/>
            <w:tcBorders>
              <w:top w:val="single" w:sz="8" w:space="0" w:color="auto"/>
              <w:left w:val="nil"/>
              <w:bottom w:val="single" w:sz="4"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heme="majorBidi"/>
              </w:rPr>
            </w:pPr>
            <w:r w:rsidRPr="0072532F">
              <w:rPr>
                <w:rFonts w:asciiTheme="majorHAnsi" w:eastAsia="Times New Roman" w:hAnsiTheme="majorHAnsi" w:cstheme="majorBidi"/>
              </w:rPr>
              <w:t>10.54</w:t>
            </w:r>
          </w:p>
        </w:tc>
        <w:tc>
          <w:tcPr>
            <w:tcW w:w="1080" w:type="dxa"/>
            <w:tcBorders>
              <w:top w:val="single" w:sz="8" w:space="0" w:color="auto"/>
              <w:left w:val="nil"/>
              <w:bottom w:val="single" w:sz="4"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heme="majorBidi"/>
              </w:rPr>
            </w:pPr>
            <w:r w:rsidRPr="0072532F">
              <w:rPr>
                <w:rFonts w:asciiTheme="majorHAnsi" w:eastAsia="Times New Roman" w:hAnsiTheme="majorHAnsi" w:cstheme="majorBidi"/>
              </w:rPr>
              <w:t>14.08</w:t>
            </w:r>
          </w:p>
        </w:tc>
        <w:tc>
          <w:tcPr>
            <w:tcW w:w="1180" w:type="dxa"/>
            <w:tcBorders>
              <w:top w:val="single" w:sz="8" w:space="0" w:color="auto"/>
              <w:left w:val="nil"/>
              <w:bottom w:val="single" w:sz="4" w:space="0" w:color="auto"/>
              <w:right w:val="nil"/>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heme="majorBidi"/>
              </w:rPr>
            </w:pPr>
            <w:r w:rsidRPr="0072532F">
              <w:rPr>
                <w:rFonts w:asciiTheme="majorHAnsi" w:eastAsia="Times New Roman" w:hAnsiTheme="majorHAnsi" w:cstheme="majorBidi"/>
              </w:rPr>
              <w:t>7.8</w:t>
            </w:r>
          </w:p>
        </w:tc>
        <w:tc>
          <w:tcPr>
            <w:tcW w:w="992" w:type="dxa"/>
            <w:tcBorders>
              <w:top w:val="single" w:sz="8" w:space="0" w:color="auto"/>
              <w:left w:val="single" w:sz="8" w:space="0" w:color="auto"/>
              <w:bottom w:val="single" w:sz="4" w:space="0" w:color="auto"/>
              <w:right w:val="single" w:sz="8"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-4.2%</w:t>
            </w:r>
          </w:p>
        </w:tc>
      </w:tr>
      <w:tr w:rsidR="00B93EBC" w:rsidRPr="0072532F" w:rsidTr="006F2C42">
        <w:trPr>
          <w:trHeight w:val="600"/>
        </w:trPr>
        <w:tc>
          <w:tcPr>
            <w:tcW w:w="3037" w:type="dxa"/>
            <w:tcBorders>
              <w:top w:val="nil"/>
              <w:left w:val="single" w:sz="8" w:space="0" w:color="auto"/>
              <w:bottom w:val="single" w:sz="8" w:space="0" w:color="auto"/>
              <w:right w:val="single" w:sz="4" w:space="0" w:color="auto"/>
            </w:tcBorders>
            <w:shd w:val="clear" w:color="000000" w:fill="D8D8D8"/>
            <w:vAlign w:val="bottom"/>
            <w:hideMark/>
          </w:tcPr>
          <w:p w:rsidR="00B93EBC" w:rsidRPr="0072532F" w:rsidRDefault="00B93EBC" w:rsidP="00B93EBC">
            <w:pPr>
              <w:spacing w:after="0" w:line="240" w:lineRule="auto"/>
              <w:rPr>
                <w:rFonts w:asciiTheme="majorHAnsi" w:eastAsia="Times New Roman" w:hAnsiTheme="majorHAnsi" w:cs="Times"/>
                <w:b/>
                <w:bCs/>
              </w:rPr>
            </w:pPr>
            <w:r w:rsidRPr="0072532F">
              <w:rPr>
                <w:rFonts w:asciiTheme="majorHAnsi" w:eastAsia="Times New Roman" w:hAnsiTheme="majorHAnsi" w:cs="Times"/>
                <w:b/>
                <w:bCs/>
              </w:rPr>
              <w:t>CBY Average Annual Exchange Rate (USD to YR)</w:t>
            </w:r>
          </w:p>
        </w:tc>
        <w:tc>
          <w:tcPr>
            <w:tcW w:w="1216" w:type="dxa"/>
            <w:tcBorders>
              <w:top w:val="nil"/>
              <w:left w:val="nil"/>
              <w:bottom w:val="single" w:sz="8"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rPr>
            </w:pPr>
            <w:r w:rsidRPr="0072532F">
              <w:rPr>
                <w:rFonts w:asciiTheme="majorHAnsi" w:eastAsia="Times New Roman" w:hAnsiTheme="majorHAnsi" w:cs="Times"/>
              </w:rPr>
              <w:t>198.95</w:t>
            </w:r>
          </w:p>
        </w:tc>
        <w:tc>
          <w:tcPr>
            <w:tcW w:w="1276" w:type="dxa"/>
            <w:tcBorders>
              <w:top w:val="nil"/>
              <w:left w:val="nil"/>
              <w:bottom w:val="single" w:sz="8"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rPr>
            </w:pPr>
            <w:r w:rsidRPr="0072532F">
              <w:rPr>
                <w:rFonts w:asciiTheme="majorHAnsi" w:eastAsia="Times New Roman" w:hAnsiTheme="majorHAnsi" w:cs="Times"/>
              </w:rPr>
              <w:t>199.78</w:t>
            </w:r>
          </w:p>
        </w:tc>
        <w:tc>
          <w:tcPr>
            <w:tcW w:w="1220" w:type="dxa"/>
            <w:tcBorders>
              <w:top w:val="nil"/>
              <w:left w:val="nil"/>
              <w:bottom w:val="single" w:sz="8"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rPr>
            </w:pPr>
            <w:r w:rsidRPr="0072532F">
              <w:rPr>
                <w:rFonts w:asciiTheme="majorHAnsi" w:eastAsia="Times New Roman" w:hAnsiTheme="majorHAnsi" w:cs="Times"/>
              </w:rPr>
              <w:t>202.85</w:t>
            </w:r>
          </w:p>
        </w:tc>
        <w:tc>
          <w:tcPr>
            <w:tcW w:w="1160" w:type="dxa"/>
            <w:tcBorders>
              <w:top w:val="nil"/>
              <w:left w:val="nil"/>
              <w:bottom w:val="single" w:sz="8"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rPr>
            </w:pPr>
            <w:r w:rsidRPr="0072532F">
              <w:rPr>
                <w:rFonts w:asciiTheme="majorHAnsi" w:eastAsia="Times New Roman" w:hAnsiTheme="majorHAnsi" w:cs="Times"/>
              </w:rPr>
              <w:t>219.59</w:t>
            </w:r>
          </w:p>
        </w:tc>
        <w:tc>
          <w:tcPr>
            <w:tcW w:w="1080" w:type="dxa"/>
            <w:tcBorders>
              <w:top w:val="nil"/>
              <w:left w:val="nil"/>
              <w:bottom w:val="single" w:sz="8" w:space="0" w:color="auto"/>
              <w:right w:val="single" w:sz="4"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rPr>
            </w:pPr>
            <w:r w:rsidRPr="0072532F">
              <w:rPr>
                <w:rFonts w:asciiTheme="majorHAnsi" w:eastAsia="Times New Roman" w:hAnsiTheme="majorHAnsi" w:cs="Times"/>
              </w:rPr>
              <w:t>213.8</w:t>
            </w:r>
          </w:p>
        </w:tc>
        <w:tc>
          <w:tcPr>
            <w:tcW w:w="1180" w:type="dxa"/>
            <w:tcBorders>
              <w:top w:val="nil"/>
              <w:left w:val="nil"/>
              <w:bottom w:val="single" w:sz="8" w:space="0" w:color="auto"/>
              <w:right w:val="nil"/>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rPr>
            </w:pPr>
            <w:r w:rsidRPr="0072532F">
              <w:rPr>
                <w:rFonts w:asciiTheme="majorHAnsi" w:eastAsia="Times New Roman" w:hAnsiTheme="majorHAnsi" w:cs="Times"/>
              </w:rPr>
              <w:t>214.35</w:t>
            </w:r>
          </w:p>
        </w:tc>
        <w:tc>
          <w:tcPr>
            <w:tcW w:w="992" w:type="dxa"/>
            <w:tcBorders>
              <w:top w:val="nil"/>
              <w:left w:val="single" w:sz="8" w:space="0" w:color="auto"/>
              <w:bottom w:val="single" w:sz="8" w:space="0" w:color="auto"/>
              <w:right w:val="single" w:sz="8"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1.5%</w:t>
            </w:r>
          </w:p>
        </w:tc>
      </w:tr>
      <w:tr w:rsidR="00B93EBC" w:rsidRPr="0072532F" w:rsidTr="006F2C42">
        <w:trPr>
          <w:trHeight w:val="180"/>
        </w:trPr>
        <w:tc>
          <w:tcPr>
            <w:tcW w:w="3037" w:type="dxa"/>
            <w:tcBorders>
              <w:top w:val="nil"/>
              <w:left w:val="single" w:sz="8" w:space="0" w:color="auto"/>
              <w:bottom w:val="nil"/>
              <w:right w:val="nil"/>
            </w:tcBorders>
            <w:shd w:val="clear" w:color="000000" w:fill="F2F2F2"/>
            <w:vAlign w:val="bottom"/>
            <w:hideMark/>
          </w:tcPr>
          <w:p w:rsidR="00B93EBC" w:rsidRPr="0072532F" w:rsidRDefault="00B93EBC" w:rsidP="00B93EBC">
            <w:pPr>
              <w:spacing w:after="0" w:line="240" w:lineRule="auto"/>
              <w:rPr>
                <w:rFonts w:asciiTheme="majorHAnsi" w:eastAsia="Times New Roman" w:hAnsiTheme="majorHAnsi" w:cs="Times"/>
                <w:b/>
                <w:bCs/>
              </w:rPr>
            </w:pPr>
            <w:r w:rsidRPr="0072532F">
              <w:rPr>
                <w:rFonts w:asciiTheme="majorHAnsi" w:eastAsia="Times New Roman" w:hAnsiTheme="majorHAnsi" w:cs="Times"/>
                <w:b/>
                <w:bCs/>
              </w:rPr>
              <w:t> </w:t>
            </w:r>
          </w:p>
        </w:tc>
        <w:tc>
          <w:tcPr>
            <w:tcW w:w="1216" w:type="dxa"/>
            <w:tcBorders>
              <w:top w:val="nil"/>
              <w:left w:val="nil"/>
              <w:bottom w:val="nil"/>
              <w:right w:val="nil"/>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b/>
                <w:bCs/>
              </w:rPr>
            </w:pPr>
            <w:r w:rsidRPr="0072532F">
              <w:rPr>
                <w:rFonts w:asciiTheme="majorHAnsi" w:eastAsia="Times New Roman" w:hAnsiTheme="majorHAnsi" w:cs="Times"/>
                <w:b/>
                <w:bCs/>
              </w:rPr>
              <w:t> </w:t>
            </w:r>
          </w:p>
        </w:tc>
        <w:tc>
          <w:tcPr>
            <w:tcW w:w="1276" w:type="dxa"/>
            <w:tcBorders>
              <w:top w:val="nil"/>
              <w:left w:val="nil"/>
              <w:bottom w:val="nil"/>
              <w:right w:val="nil"/>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b/>
                <w:bCs/>
              </w:rPr>
            </w:pPr>
            <w:r w:rsidRPr="0072532F">
              <w:rPr>
                <w:rFonts w:asciiTheme="majorHAnsi" w:eastAsia="Times New Roman" w:hAnsiTheme="majorHAnsi" w:cs="Times"/>
                <w:b/>
                <w:bCs/>
              </w:rPr>
              <w:t> </w:t>
            </w:r>
          </w:p>
        </w:tc>
        <w:tc>
          <w:tcPr>
            <w:tcW w:w="1220" w:type="dxa"/>
            <w:tcBorders>
              <w:top w:val="nil"/>
              <w:left w:val="nil"/>
              <w:bottom w:val="nil"/>
              <w:right w:val="nil"/>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b/>
                <w:bCs/>
              </w:rPr>
            </w:pPr>
            <w:r w:rsidRPr="0072532F">
              <w:rPr>
                <w:rFonts w:asciiTheme="majorHAnsi" w:eastAsia="Times New Roman" w:hAnsiTheme="majorHAnsi" w:cs="Times"/>
                <w:b/>
                <w:bCs/>
              </w:rPr>
              <w:t> </w:t>
            </w:r>
          </w:p>
        </w:tc>
        <w:tc>
          <w:tcPr>
            <w:tcW w:w="1160" w:type="dxa"/>
            <w:tcBorders>
              <w:top w:val="nil"/>
              <w:left w:val="nil"/>
              <w:bottom w:val="nil"/>
              <w:right w:val="nil"/>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b/>
                <w:bCs/>
              </w:rPr>
            </w:pPr>
            <w:r w:rsidRPr="0072532F">
              <w:rPr>
                <w:rFonts w:asciiTheme="majorHAnsi" w:eastAsia="Times New Roman" w:hAnsiTheme="majorHAnsi" w:cs="Times"/>
                <w:b/>
                <w:bCs/>
              </w:rPr>
              <w:t> </w:t>
            </w:r>
          </w:p>
        </w:tc>
        <w:tc>
          <w:tcPr>
            <w:tcW w:w="1080" w:type="dxa"/>
            <w:tcBorders>
              <w:top w:val="nil"/>
              <w:left w:val="nil"/>
              <w:bottom w:val="nil"/>
              <w:right w:val="nil"/>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b/>
                <w:bCs/>
              </w:rPr>
            </w:pPr>
            <w:r w:rsidRPr="0072532F">
              <w:rPr>
                <w:rFonts w:asciiTheme="majorHAnsi" w:eastAsia="Times New Roman" w:hAnsiTheme="majorHAnsi" w:cs="Times"/>
                <w:b/>
                <w:bCs/>
              </w:rPr>
              <w:t> </w:t>
            </w:r>
          </w:p>
        </w:tc>
        <w:tc>
          <w:tcPr>
            <w:tcW w:w="1180" w:type="dxa"/>
            <w:tcBorders>
              <w:top w:val="nil"/>
              <w:left w:val="nil"/>
              <w:bottom w:val="nil"/>
              <w:right w:val="nil"/>
            </w:tcBorders>
            <w:shd w:val="clear" w:color="000000" w:fill="F2F2F2"/>
            <w:noWrap/>
            <w:vAlign w:val="center"/>
            <w:hideMark/>
          </w:tcPr>
          <w:p w:rsidR="00B93EBC" w:rsidRPr="0072532F" w:rsidRDefault="00B93EBC" w:rsidP="00B93EBC">
            <w:pPr>
              <w:spacing w:after="0" w:line="240" w:lineRule="auto"/>
              <w:jc w:val="center"/>
              <w:rPr>
                <w:rFonts w:asciiTheme="majorHAnsi" w:eastAsia="Times New Roman" w:hAnsiTheme="majorHAnsi" w:cs="Times"/>
                <w:b/>
                <w:bCs/>
              </w:rPr>
            </w:pPr>
            <w:r w:rsidRPr="0072532F">
              <w:rPr>
                <w:rFonts w:asciiTheme="majorHAnsi" w:eastAsia="Times New Roman" w:hAnsiTheme="majorHAnsi" w:cs="Times"/>
                <w:b/>
                <w:bCs/>
              </w:rPr>
              <w:t> </w:t>
            </w:r>
          </w:p>
        </w:tc>
        <w:tc>
          <w:tcPr>
            <w:tcW w:w="992" w:type="dxa"/>
            <w:tcBorders>
              <w:top w:val="nil"/>
              <w:left w:val="nil"/>
              <w:bottom w:val="nil"/>
              <w:right w:val="single" w:sz="8" w:space="0" w:color="auto"/>
            </w:tcBorders>
            <w:shd w:val="clear" w:color="000000" w:fill="F2F2F2"/>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p>
        </w:tc>
      </w:tr>
      <w:tr w:rsidR="00B93EBC" w:rsidRPr="0072532F" w:rsidTr="006F2C42">
        <w:trPr>
          <w:trHeight w:val="330"/>
        </w:trPr>
        <w:tc>
          <w:tcPr>
            <w:tcW w:w="3037"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FFFFFF"/>
                <w:sz w:val="24"/>
                <w:szCs w:val="24"/>
              </w:rPr>
            </w:pPr>
            <w:r w:rsidRPr="0072532F">
              <w:rPr>
                <w:rFonts w:asciiTheme="majorHAnsi" w:eastAsia="Times New Roman" w:hAnsiTheme="majorHAnsi" w:cs="Times"/>
                <w:b/>
                <w:bCs/>
                <w:color w:val="FFFFFF"/>
                <w:sz w:val="24"/>
                <w:szCs w:val="24"/>
              </w:rPr>
              <w:t>In USD</w:t>
            </w:r>
          </w:p>
        </w:tc>
        <w:tc>
          <w:tcPr>
            <w:tcW w:w="1216" w:type="dxa"/>
            <w:tcBorders>
              <w:top w:val="single" w:sz="8" w:space="0" w:color="auto"/>
              <w:left w:val="nil"/>
              <w:bottom w:val="single" w:sz="8"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2007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2008</w:t>
            </w:r>
          </w:p>
        </w:tc>
        <w:tc>
          <w:tcPr>
            <w:tcW w:w="1220" w:type="dxa"/>
            <w:tcBorders>
              <w:top w:val="single" w:sz="8" w:space="0" w:color="auto"/>
              <w:left w:val="nil"/>
              <w:bottom w:val="single" w:sz="8"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2009</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2010</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2011</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2012*</w:t>
            </w:r>
          </w:p>
        </w:tc>
        <w:tc>
          <w:tcPr>
            <w:tcW w:w="992" w:type="dxa"/>
            <w:tcBorders>
              <w:top w:val="single" w:sz="8" w:space="0" w:color="auto"/>
              <w:left w:val="nil"/>
              <w:bottom w:val="single" w:sz="8" w:space="0" w:color="auto"/>
              <w:right w:val="single" w:sz="8" w:space="0" w:color="auto"/>
            </w:tcBorders>
            <w:shd w:val="clear" w:color="000000" w:fill="D8D8D8"/>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Growth Rate</w:t>
            </w:r>
          </w:p>
        </w:tc>
      </w:tr>
      <w:tr w:rsidR="00B93EBC" w:rsidRPr="0072532F" w:rsidTr="006F2C42">
        <w:trPr>
          <w:trHeight w:val="300"/>
        </w:trPr>
        <w:tc>
          <w:tcPr>
            <w:tcW w:w="3037" w:type="dxa"/>
            <w:tcBorders>
              <w:top w:val="nil"/>
              <w:left w:val="single" w:sz="8" w:space="0" w:color="auto"/>
              <w:bottom w:val="single" w:sz="4" w:space="0" w:color="auto"/>
              <w:right w:val="single" w:sz="8"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Total Revenues And Grants</w:t>
            </w:r>
          </w:p>
        </w:tc>
        <w:tc>
          <w:tcPr>
            <w:tcW w:w="1216" w:type="dxa"/>
            <w:tcBorders>
              <w:top w:val="nil"/>
              <w:left w:val="nil"/>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7,183 </w:t>
            </w:r>
          </w:p>
        </w:tc>
        <w:tc>
          <w:tcPr>
            <w:tcW w:w="1276" w:type="dxa"/>
            <w:tcBorders>
              <w:top w:val="nil"/>
              <w:left w:val="nil"/>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9,977 </w:t>
            </w:r>
          </w:p>
        </w:tc>
        <w:tc>
          <w:tcPr>
            <w:tcW w:w="1220" w:type="dxa"/>
            <w:tcBorders>
              <w:top w:val="nil"/>
              <w:left w:val="nil"/>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6,439 </w:t>
            </w:r>
          </w:p>
        </w:tc>
        <w:tc>
          <w:tcPr>
            <w:tcW w:w="1160" w:type="dxa"/>
            <w:tcBorders>
              <w:top w:val="nil"/>
              <w:left w:val="nil"/>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8,253 </w:t>
            </w:r>
          </w:p>
        </w:tc>
        <w:tc>
          <w:tcPr>
            <w:tcW w:w="1080" w:type="dxa"/>
            <w:tcBorders>
              <w:top w:val="nil"/>
              <w:left w:val="nil"/>
              <w:bottom w:val="single" w:sz="4" w:space="0" w:color="auto"/>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8,165 </w:t>
            </w:r>
          </w:p>
        </w:tc>
        <w:tc>
          <w:tcPr>
            <w:tcW w:w="1180" w:type="dxa"/>
            <w:tcBorders>
              <w:top w:val="nil"/>
              <w:left w:val="nil"/>
              <w:bottom w:val="single" w:sz="4" w:space="0" w:color="auto"/>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9,909 </w:t>
            </w:r>
          </w:p>
        </w:tc>
        <w:tc>
          <w:tcPr>
            <w:tcW w:w="992" w:type="dxa"/>
            <w:tcBorders>
              <w:top w:val="nil"/>
              <w:left w:val="single" w:sz="8" w:space="0" w:color="auto"/>
              <w:bottom w:val="single" w:sz="4" w:space="0" w:color="auto"/>
              <w:right w:val="single" w:sz="8"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6.6%</w:t>
            </w:r>
          </w:p>
        </w:tc>
      </w:tr>
      <w:tr w:rsidR="00B93EBC" w:rsidRPr="0072532F" w:rsidTr="006F2C42">
        <w:trPr>
          <w:trHeight w:val="315"/>
        </w:trPr>
        <w:tc>
          <w:tcPr>
            <w:tcW w:w="3037" w:type="dxa"/>
            <w:tcBorders>
              <w:top w:val="nil"/>
              <w:left w:val="single" w:sz="8" w:space="0" w:color="auto"/>
              <w:bottom w:val="nil"/>
              <w:right w:val="single" w:sz="8"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b/>
                <w:bCs/>
                <w:color w:val="000000"/>
              </w:rPr>
            </w:pPr>
            <w:r w:rsidRPr="0072532F">
              <w:rPr>
                <w:rFonts w:asciiTheme="majorHAnsi" w:eastAsia="Times New Roman" w:hAnsiTheme="majorHAnsi" w:cs="Times"/>
                <w:b/>
                <w:bCs/>
                <w:color w:val="000000"/>
              </w:rPr>
              <w:t>Total  Expending</w:t>
            </w:r>
          </w:p>
        </w:tc>
        <w:tc>
          <w:tcPr>
            <w:tcW w:w="1216" w:type="dxa"/>
            <w:tcBorders>
              <w:top w:val="nil"/>
              <w:left w:val="nil"/>
              <w:bottom w:val="nil"/>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8,820 </w:t>
            </w:r>
          </w:p>
        </w:tc>
        <w:tc>
          <w:tcPr>
            <w:tcW w:w="1276" w:type="dxa"/>
            <w:tcBorders>
              <w:top w:val="nil"/>
              <w:left w:val="nil"/>
              <w:bottom w:val="nil"/>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$ 11,253 </w:t>
            </w:r>
          </w:p>
        </w:tc>
        <w:tc>
          <w:tcPr>
            <w:tcW w:w="1220" w:type="dxa"/>
            <w:tcBorders>
              <w:top w:val="nil"/>
              <w:left w:val="nil"/>
              <w:bottom w:val="nil"/>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9,110 </w:t>
            </w:r>
          </w:p>
        </w:tc>
        <w:tc>
          <w:tcPr>
            <w:tcW w:w="1160" w:type="dxa"/>
            <w:tcBorders>
              <w:top w:val="nil"/>
              <w:left w:val="nil"/>
              <w:bottom w:val="nil"/>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9,634 </w:t>
            </w:r>
          </w:p>
        </w:tc>
        <w:tc>
          <w:tcPr>
            <w:tcW w:w="1080" w:type="dxa"/>
            <w:tcBorders>
              <w:top w:val="nil"/>
              <w:left w:val="nil"/>
              <w:bottom w:val="nil"/>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9,810 </w:t>
            </w:r>
          </w:p>
        </w:tc>
        <w:tc>
          <w:tcPr>
            <w:tcW w:w="1180" w:type="dxa"/>
            <w:tcBorders>
              <w:top w:val="nil"/>
              <w:left w:val="nil"/>
              <w:bottom w:val="nil"/>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11,684 </w:t>
            </w:r>
          </w:p>
        </w:tc>
        <w:tc>
          <w:tcPr>
            <w:tcW w:w="992" w:type="dxa"/>
            <w:tcBorders>
              <w:top w:val="nil"/>
              <w:left w:val="single" w:sz="8" w:space="0" w:color="auto"/>
              <w:bottom w:val="single" w:sz="4" w:space="0" w:color="auto"/>
              <w:right w:val="single" w:sz="8"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5.8%</w:t>
            </w:r>
          </w:p>
        </w:tc>
      </w:tr>
      <w:tr w:rsidR="00B93EBC" w:rsidRPr="0072532F" w:rsidTr="006F2C42">
        <w:trPr>
          <w:trHeight w:val="315"/>
        </w:trPr>
        <w:tc>
          <w:tcPr>
            <w:tcW w:w="30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Surplus/Deficit</w:t>
            </w:r>
          </w:p>
        </w:tc>
        <w:tc>
          <w:tcPr>
            <w:tcW w:w="1216" w:type="dxa"/>
            <w:tcBorders>
              <w:top w:val="single" w:sz="8" w:space="0" w:color="auto"/>
              <w:left w:val="nil"/>
              <w:bottom w:val="single" w:sz="8" w:space="0" w:color="auto"/>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-1,637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-1,276 </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-2,671 </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-1,380 </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-1,645 </w:t>
            </w:r>
          </w:p>
        </w:tc>
        <w:tc>
          <w:tcPr>
            <w:tcW w:w="1180" w:type="dxa"/>
            <w:tcBorders>
              <w:top w:val="single" w:sz="8" w:space="0" w:color="auto"/>
              <w:left w:val="nil"/>
              <w:bottom w:val="single" w:sz="8" w:space="0" w:color="auto"/>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r w:rsidRPr="0072532F">
              <w:rPr>
                <w:rFonts w:asciiTheme="majorHAnsi" w:eastAsia="Times New Roman" w:hAnsiTheme="majorHAnsi" w:cs="Times"/>
                <w:color w:val="000000"/>
              </w:rPr>
              <w:t xml:space="preserve"> $    -1,775 </w:t>
            </w:r>
          </w:p>
        </w:tc>
        <w:tc>
          <w:tcPr>
            <w:tcW w:w="992" w:type="dxa"/>
            <w:tcBorders>
              <w:top w:val="nil"/>
              <w:left w:val="single" w:sz="8" w:space="0" w:color="auto"/>
              <w:bottom w:val="single" w:sz="8" w:space="0" w:color="auto"/>
              <w:right w:val="single" w:sz="8" w:space="0" w:color="auto"/>
            </w:tcBorders>
            <w:shd w:val="clear" w:color="000000" w:fill="D8D8D8"/>
            <w:noWrap/>
            <w:vAlign w:val="center"/>
            <w:hideMark/>
          </w:tcPr>
          <w:p w:rsidR="00B93EBC" w:rsidRPr="0072532F" w:rsidRDefault="00B93EBC" w:rsidP="00B93EBC">
            <w:pPr>
              <w:spacing w:after="0" w:line="240" w:lineRule="auto"/>
              <w:jc w:val="center"/>
              <w:rPr>
                <w:rFonts w:asciiTheme="majorHAnsi" w:eastAsia="Times New Roman" w:hAnsiTheme="majorHAnsi" w:cs="Times"/>
                <w:b/>
                <w:bCs/>
                <w:color w:val="000000"/>
              </w:rPr>
            </w:pPr>
            <w:r w:rsidRPr="0072532F">
              <w:rPr>
                <w:rFonts w:asciiTheme="majorHAnsi" w:eastAsia="Times New Roman" w:hAnsiTheme="majorHAnsi" w:cs="Times"/>
                <w:b/>
                <w:bCs/>
                <w:color w:val="000000"/>
              </w:rPr>
              <w:t>1.6%</w:t>
            </w:r>
          </w:p>
        </w:tc>
      </w:tr>
      <w:tr w:rsidR="00B93EBC" w:rsidRPr="0072532F" w:rsidTr="006F2C42">
        <w:trPr>
          <w:trHeight w:val="300"/>
        </w:trPr>
        <w:tc>
          <w:tcPr>
            <w:tcW w:w="6749" w:type="dxa"/>
            <w:gridSpan w:val="4"/>
            <w:tcBorders>
              <w:top w:val="nil"/>
              <w:left w:val="nil"/>
              <w:bottom w:val="nil"/>
              <w:right w:val="nil"/>
            </w:tcBorders>
            <w:shd w:val="clear" w:color="auto" w:fill="auto"/>
            <w:noWrap/>
            <w:vAlign w:val="center"/>
            <w:hideMark/>
          </w:tcPr>
          <w:p w:rsidR="00B93EBC" w:rsidRPr="0072532F" w:rsidRDefault="00B93EBC" w:rsidP="00B93EBC">
            <w:pPr>
              <w:spacing w:after="0" w:line="240" w:lineRule="auto"/>
              <w:rPr>
                <w:rFonts w:asciiTheme="majorHAnsi" w:eastAsia="Times New Roman" w:hAnsiTheme="majorHAnsi" w:cs="Times"/>
                <w:color w:val="000000"/>
                <w:sz w:val="20"/>
                <w:szCs w:val="20"/>
              </w:rPr>
            </w:pPr>
            <w:r w:rsidRPr="0072532F">
              <w:rPr>
                <w:rFonts w:asciiTheme="majorHAnsi" w:eastAsia="Times New Roman" w:hAnsiTheme="majorHAnsi" w:cs="Times"/>
                <w:color w:val="000000"/>
                <w:sz w:val="20"/>
                <w:szCs w:val="20"/>
              </w:rPr>
              <w:t>(*) Initial Actual. Source</w:t>
            </w:r>
            <w:r w:rsidR="005472A8" w:rsidRPr="0072532F">
              <w:rPr>
                <w:rFonts w:asciiTheme="majorHAnsi" w:eastAsia="Times New Roman" w:hAnsiTheme="majorHAnsi" w:cs="Times"/>
                <w:color w:val="000000"/>
                <w:sz w:val="20"/>
                <w:szCs w:val="20"/>
              </w:rPr>
              <w:t>s</w:t>
            </w:r>
            <w:r w:rsidRPr="0072532F">
              <w:rPr>
                <w:rFonts w:asciiTheme="majorHAnsi" w:eastAsia="Times New Roman" w:hAnsiTheme="majorHAnsi" w:cs="Times"/>
                <w:color w:val="000000"/>
                <w:sz w:val="20"/>
                <w:szCs w:val="20"/>
              </w:rPr>
              <w:t>: CBY (2013), MoF (2013) and CSO (2013)</w:t>
            </w:r>
          </w:p>
        </w:tc>
        <w:tc>
          <w:tcPr>
            <w:tcW w:w="1160" w:type="dxa"/>
            <w:tcBorders>
              <w:top w:val="nil"/>
              <w:left w:val="nil"/>
              <w:bottom w:val="nil"/>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p>
        </w:tc>
        <w:tc>
          <w:tcPr>
            <w:tcW w:w="1080" w:type="dxa"/>
            <w:tcBorders>
              <w:top w:val="nil"/>
              <w:left w:val="nil"/>
              <w:bottom w:val="nil"/>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p>
        </w:tc>
        <w:tc>
          <w:tcPr>
            <w:tcW w:w="1180" w:type="dxa"/>
            <w:tcBorders>
              <w:top w:val="nil"/>
              <w:left w:val="nil"/>
              <w:bottom w:val="nil"/>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p>
        </w:tc>
        <w:tc>
          <w:tcPr>
            <w:tcW w:w="992" w:type="dxa"/>
            <w:tcBorders>
              <w:top w:val="nil"/>
              <w:left w:val="nil"/>
              <w:bottom w:val="nil"/>
              <w:right w:val="nil"/>
            </w:tcBorders>
            <w:shd w:val="clear" w:color="auto" w:fill="auto"/>
            <w:noWrap/>
            <w:vAlign w:val="bottom"/>
            <w:hideMark/>
          </w:tcPr>
          <w:p w:rsidR="00B93EBC" w:rsidRPr="0072532F" w:rsidRDefault="00B93EBC" w:rsidP="00B93EBC">
            <w:pPr>
              <w:spacing w:after="0" w:line="240" w:lineRule="auto"/>
              <w:rPr>
                <w:rFonts w:asciiTheme="majorHAnsi" w:eastAsia="Times New Roman" w:hAnsiTheme="majorHAnsi" w:cs="Times"/>
                <w:color w:val="000000"/>
              </w:rPr>
            </w:pPr>
          </w:p>
        </w:tc>
      </w:tr>
    </w:tbl>
    <w:p w:rsidR="00AA370D" w:rsidRPr="0072532F" w:rsidRDefault="00AA370D">
      <w:pPr>
        <w:rPr>
          <w:rFonts w:asciiTheme="majorHAnsi" w:hAnsiTheme="majorHAnsi" w:cstheme="majorBidi"/>
          <w:b/>
          <w:bCs/>
          <w:sz w:val="24"/>
          <w:szCs w:val="24"/>
        </w:rPr>
      </w:pPr>
    </w:p>
    <w:p w:rsidR="005472A8" w:rsidRDefault="005472A8" w:rsidP="00672E95">
      <w:pPr>
        <w:spacing w:line="480" w:lineRule="auto"/>
        <w:ind w:firstLine="709"/>
        <w:rPr>
          <w:rFonts w:asciiTheme="majorHAnsi" w:hAnsiTheme="majorHAnsi" w:cstheme="majorBidi"/>
          <w:sz w:val="24"/>
          <w:szCs w:val="24"/>
        </w:rPr>
      </w:pPr>
      <w:r w:rsidRPr="0072532F">
        <w:rPr>
          <w:rFonts w:asciiTheme="majorHAnsi" w:hAnsiTheme="majorHAnsi" w:cstheme="majorBidi"/>
          <w:sz w:val="24"/>
          <w:szCs w:val="24"/>
        </w:rPr>
        <w:t xml:space="preserve">The Yemeni fiscal budget is dominated by specific budget items </w:t>
      </w:r>
      <w:r w:rsidR="00410ECD" w:rsidRPr="0072532F">
        <w:rPr>
          <w:rFonts w:asciiTheme="majorHAnsi" w:hAnsiTheme="majorHAnsi" w:cstheme="majorBidi"/>
          <w:sz w:val="24"/>
          <w:szCs w:val="24"/>
        </w:rPr>
        <w:t>both in</w:t>
      </w:r>
      <w:r w:rsidRPr="0072532F">
        <w:rPr>
          <w:rFonts w:asciiTheme="majorHAnsi" w:hAnsiTheme="majorHAnsi" w:cstheme="majorBidi"/>
          <w:sz w:val="24"/>
          <w:szCs w:val="24"/>
        </w:rPr>
        <w:t xml:space="preserve"> revenues </w:t>
      </w:r>
      <w:r w:rsidR="00410ECD" w:rsidRPr="0072532F">
        <w:rPr>
          <w:rFonts w:asciiTheme="majorHAnsi" w:hAnsiTheme="majorHAnsi" w:cstheme="majorBidi"/>
          <w:sz w:val="24"/>
          <w:szCs w:val="24"/>
        </w:rPr>
        <w:t>and</w:t>
      </w:r>
      <w:r w:rsidRPr="0072532F">
        <w:rPr>
          <w:rFonts w:asciiTheme="majorHAnsi" w:hAnsiTheme="majorHAnsi" w:cstheme="majorBidi"/>
          <w:sz w:val="24"/>
          <w:szCs w:val="24"/>
        </w:rPr>
        <w:t xml:space="preserve"> expenditures</w:t>
      </w:r>
      <w:r w:rsidR="001E7BA6">
        <w:rPr>
          <w:rFonts w:asciiTheme="majorHAnsi" w:hAnsiTheme="majorHAnsi" w:cstheme="majorBidi"/>
          <w:sz w:val="24"/>
          <w:szCs w:val="24"/>
        </w:rPr>
        <w:t>, as it shown in the below table</w:t>
      </w:r>
      <w:r w:rsidRPr="0072532F">
        <w:rPr>
          <w:rFonts w:asciiTheme="majorHAnsi" w:hAnsiTheme="majorHAnsi" w:cstheme="majorBidi"/>
          <w:sz w:val="24"/>
          <w:szCs w:val="24"/>
        </w:rPr>
        <w:t>.  The major items in expenditures</w:t>
      </w:r>
      <w:r w:rsidR="00410ECD" w:rsidRPr="0072532F">
        <w:rPr>
          <w:rFonts w:asciiTheme="majorHAnsi" w:hAnsiTheme="majorHAnsi" w:cstheme="majorBidi"/>
          <w:sz w:val="24"/>
          <w:szCs w:val="24"/>
        </w:rPr>
        <w:t>, which compose 82% of total expenditures</w:t>
      </w:r>
      <w:r w:rsidRPr="0072532F">
        <w:rPr>
          <w:rFonts w:asciiTheme="majorHAnsi" w:hAnsiTheme="majorHAnsi" w:cstheme="majorBidi"/>
          <w:sz w:val="24"/>
          <w:szCs w:val="24"/>
        </w:rPr>
        <w:t xml:space="preserve"> are</w:t>
      </w:r>
      <w:r w:rsidR="00410ECD" w:rsidRPr="0072532F">
        <w:rPr>
          <w:rFonts w:asciiTheme="majorHAnsi" w:hAnsiTheme="majorHAnsi" w:cstheme="majorBidi"/>
          <w:sz w:val="24"/>
          <w:szCs w:val="24"/>
        </w:rPr>
        <w:t xml:space="preserve">: </w:t>
      </w:r>
      <w:r w:rsidRPr="0072532F">
        <w:rPr>
          <w:rFonts w:asciiTheme="majorHAnsi" w:hAnsiTheme="majorHAnsi" w:cstheme="majorBidi"/>
          <w:sz w:val="24"/>
          <w:szCs w:val="24"/>
        </w:rPr>
        <w:t xml:space="preserve"> a) Subsidies, Grants and Social Benefits, b) Wages </w:t>
      </w:r>
      <w:r w:rsidRPr="0072532F">
        <w:rPr>
          <w:rFonts w:asciiTheme="majorHAnsi" w:hAnsiTheme="majorHAnsi" w:cstheme="majorBidi"/>
          <w:sz w:val="24"/>
          <w:szCs w:val="24"/>
        </w:rPr>
        <w:lastRenderedPageBreak/>
        <w:t xml:space="preserve">and Salaries and c) Use of Goods and Services. While </w:t>
      </w:r>
      <w:r w:rsidR="00410ECD" w:rsidRPr="0072532F">
        <w:rPr>
          <w:rFonts w:asciiTheme="majorHAnsi" w:hAnsiTheme="majorHAnsi" w:cstheme="majorBidi"/>
          <w:sz w:val="24"/>
          <w:szCs w:val="24"/>
        </w:rPr>
        <w:t>Tax and Oil revenues make up 8</w:t>
      </w:r>
      <w:r w:rsidR="00672E95">
        <w:rPr>
          <w:rFonts w:asciiTheme="majorHAnsi" w:hAnsiTheme="majorHAnsi" w:cstheme="majorBidi"/>
          <w:sz w:val="24"/>
          <w:szCs w:val="24"/>
        </w:rPr>
        <w:t>6</w:t>
      </w:r>
      <w:r w:rsidR="00410ECD" w:rsidRPr="0072532F">
        <w:rPr>
          <w:rFonts w:asciiTheme="majorHAnsi" w:hAnsiTheme="majorHAnsi" w:cstheme="majorBidi"/>
          <w:sz w:val="24"/>
          <w:szCs w:val="24"/>
        </w:rPr>
        <w:t>% of total revenues.</w:t>
      </w:r>
      <w:r w:rsidR="00EE6925">
        <w:rPr>
          <w:rFonts w:asciiTheme="majorHAnsi" w:hAnsiTheme="majorHAnsi" w:cstheme="majorBidi"/>
          <w:sz w:val="24"/>
          <w:szCs w:val="24"/>
        </w:rPr>
        <w:t xml:space="preserve"> The remaining 1</w:t>
      </w:r>
      <w:r w:rsidR="00672E95">
        <w:rPr>
          <w:rFonts w:asciiTheme="majorHAnsi" w:hAnsiTheme="majorHAnsi" w:cstheme="majorBidi"/>
          <w:sz w:val="24"/>
          <w:szCs w:val="24"/>
        </w:rPr>
        <w:t>4</w:t>
      </w:r>
      <w:r w:rsidR="00EE6925">
        <w:rPr>
          <w:rFonts w:asciiTheme="majorHAnsi" w:hAnsiTheme="majorHAnsi" w:cstheme="majorBidi"/>
          <w:sz w:val="24"/>
          <w:szCs w:val="24"/>
        </w:rPr>
        <w:t xml:space="preserve">% of total revenues and grants comes from </w:t>
      </w:r>
      <w:r w:rsidR="001E7BA6">
        <w:rPr>
          <w:rFonts w:asciiTheme="majorHAnsi" w:hAnsiTheme="majorHAnsi" w:cstheme="majorBidi"/>
          <w:sz w:val="24"/>
          <w:szCs w:val="24"/>
        </w:rPr>
        <w:t>O</w:t>
      </w:r>
      <w:r w:rsidR="00652C29">
        <w:rPr>
          <w:rFonts w:asciiTheme="majorHAnsi" w:hAnsiTheme="majorHAnsi" w:cstheme="majorBidi"/>
          <w:sz w:val="24"/>
          <w:szCs w:val="24"/>
        </w:rPr>
        <w:t xml:space="preserve">ther </w:t>
      </w:r>
      <w:r w:rsidR="001E7BA6">
        <w:rPr>
          <w:rFonts w:asciiTheme="majorHAnsi" w:hAnsiTheme="majorHAnsi" w:cstheme="majorBidi"/>
          <w:sz w:val="24"/>
          <w:szCs w:val="24"/>
        </w:rPr>
        <w:t>N</w:t>
      </w:r>
      <w:r w:rsidR="00652C29">
        <w:rPr>
          <w:rFonts w:asciiTheme="majorHAnsi" w:hAnsiTheme="majorHAnsi" w:cstheme="majorBidi"/>
          <w:sz w:val="24"/>
          <w:szCs w:val="24"/>
        </w:rPr>
        <w:t xml:space="preserve">on-Tax </w:t>
      </w:r>
      <w:r w:rsidR="001E7BA6">
        <w:rPr>
          <w:rFonts w:asciiTheme="majorHAnsi" w:hAnsiTheme="majorHAnsi" w:cstheme="majorBidi"/>
          <w:sz w:val="24"/>
          <w:szCs w:val="24"/>
        </w:rPr>
        <w:t>C</w:t>
      </w:r>
      <w:r w:rsidR="00652C29">
        <w:rPr>
          <w:rFonts w:asciiTheme="majorHAnsi" w:hAnsiTheme="majorHAnsi" w:cstheme="majorBidi"/>
          <w:sz w:val="24"/>
          <w:szCs w:val="24"/>
        </w:rPr>
        <w:t xml:space="preserve">urrent </w:t>
      </w:r>
      <w:r w:rsidR="001E7BA6">
        <w:rPr>
          <w:rFonts w:asciiTheme="majorHAnsi" w:hAnsiTheme="majorHAnsi" w:cstheme="majorBidi"/>
          <w:sz w:val="24"/>
          <w:szCs w:val="24"/>
        </w:rPr>
        <w:t>R</w:t>
      </w:r>
      <w:r w:rsidR="00652C29">
        <w:rPr>
          <w:rFonts w:asciiTheme="majorHAnsi" w:hAnsiTheme="majorHAnsi" w:cstheme="majorBidi"/>
          <w:sz w:val="24"/>
          <w:szCs w:val="24"/>
        </w:rPr>
        <w:t xml:space="preserve">evenues (11%) and </w:t>
      </w:r>
      <w:r w:rsidR="001E7BA6">
        <w:rPr>
          <w:rFonts w:asciiTheme="majorHAnsi" w:hAnsiTheme="majorHAnsi" w:cstheme="majorBidi"/>
          <w:sz w:val="24"/>
          <w:szCs w:val="24"/>
        </w:rPr>
        <w:t>C</w:t>
      </w:r>
      <w:r w:rsidR="00652C29">
        <w:rPr>
          <w:rFonts w:asciiTheme="majorHAnsi" w:hAnsiTheme="majorHAnsi" w:cstheme="majorBidi"/>
          <w:sz w:val="24"/>
          <w:szCs w:val="24"/>
        </w:rPr>
        <w:t xml:space="preserve">apital </w:t>
      </w:r>
      <w:r w:rsidR="001E7BA6">
        <w:rPr>
          <w:rFonts w:asciiTheme="majorHAnsi" w:hAnsiTheme="majorHAnsi" w:cstheme="majorBidi"/>
          <w:sz w:val="24"/>
          <w:szCs w:val="24"/>
        </w:rPr>
        <w:t>R</w:t>
      </w:r>
      <w:r w:rsidR="00652C29">
        <w:rPr>
          <w:rFonts w:asciiTheme="majorHAnsi" w:hAnsiTheme="majorHAnsi" w:cstheme="majorBidi"/>
          <w:sz w:val="24"/>
          <w:szCs w:val="24"/>
        </w:rPr>
        <w:t xml:space="preserve">evenues and </w:t>
      </w:r>
      <w:r w:rsidR="001E7BA6">
        <w:rPr>
          <w:rFonts w:asciiTheme="majorHAnsi" w:hAnsiTheme="majorHAnsi" w:cstheme="majorBidi"/>
          <w:sz w:val="24"/>
          <w:szCs w:val="24"/>
        </w:rPr>
        <w:t>G</w:t>
      </w:r>
      <w:r w:rsidR="0003120F">
        <w:rPr>
          <w:rFonts w:asciiTheme="majorHAnsi" w:hAnsiTheme="majorHAnsi" w:cstheme="majorBidi"/>
          <w:sz w:val="24"/>
          <w:szCs w:val="24"/>
        </w:rPr>
        <w:t>rants (3%).</w:t>
      </w:r>
    </w:p>
    <w:tbl>
      <w:tblPr>
        <w:tblW w:w="8247" w:type="dxa"/>
        <w:tblInd w:w="95" w:type="dxa"/>
        <w:tblLook w:val="04A0"/>
      </w:tblPr>
      <w:tblGrid>
        <w:gridCol w:w="464"/>
        <w:gridCol w:w="453"/>
        <w:gridCol w:w="261"/>
        <w:gridCol w:w="438"/>
        <w:gridCol w:w="2650"/>
        <w:gridCol w:w="2363"/>
        <w:gridCol w:w="1618"/>
      </w:tblGrid>
      <w:tr w:rsidR="001F46CD" w:rsidRPr="001F46CD" w:rsidTr="001F46CD">
        <w:trPr>
          <w:trHeight w:val="300"/>
        </w:trPr>
        <w:tc>
          <w:tcPr>
            <w:tcW w:w="4266" w:type="dxa"/>
            <w:gridSpan w:val="5"/>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4"/>
                <w:szCs w:val="24"/>
              </w:rPr>
            </w:pPr>
            <w:r w:rsidRPr="001F46CD">
              <w:rPr>
                <w:rFonts w:ascii="Cambria" w:eastAsia="Times New Roman" w:hAnsi="Cambria" w:cs="Times New Roman"/>
                <w:b/>
                <w:bCs/>
                <w:color w:val="000000"/>
                <w:sz w:val="24"/>
                <w:szCs w:val="24"/>
              </w:rPr>
              <w:t>0</w:t>
            </w:r>
            <w:r>
              <w:rPr>
                <w:rFonts w:ascii="Cambria" w:eastAsia="Times New Roman" w:hAnsi="Cambria" w:cs="Times New Roman"/>
                <w:b/>
                <w:bCs/>
                <w:color w:val="000000"/>
                <w:sz w:val="24"/>
                <w:szCs w:val="24"/>
              </w:rPr>
              <w:t>1</w:t>
            </w:r>
            <w:r w:rsidRPr="001F46CD">
              <w:rPr>
                <w:rFonts w:ascii="Cambria" w:eastAsia="Times New Roman" w:hAnsi="Cambria" w:cs="Times New Roman"/>
                <w:b/>
                <w:bCs/>
                <w:color w:val="000000"/>
                <w:sz w:val="24"/>
                <w:szCs w:val="24"/>
              </w:rPr>
              <w:t xml:space="preserve"> - Public Revenues and Grants</w:t>
            </w:r>
          </w:p>
        </w:tc>
        <w:tc>
          <w:tcPr>
            <w:tcW w:w="236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 of Total Revenues &amp; Grants</w:t>
            </w:r>
          </w:p>
        </w:tc>
        <w:tc>
          <w:tcPr>
            <w:tcW w:w="16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5-Year Growth Rate</w:t>
            </w:r>
          </w:p>
        </w:tc>
      </w:tr>
      <w:tr w:rsidR="001F46CD" w:rsidRPr="001F46CD" w:rsidTr="001F46CD">
        <w:trPr>
          <w:trHeight w:val="281"/>
        </w:trPr>
        <w:tc>
          <w:tcPr>
            <w:tcW w:w="4266" w:type="dxa"/>
            <w:gridSpan w:val="5"/>
            <w:vMerge/>
            <w:tcBorders>
              <w:top w:val="single" w:sz="8" w:space="0" w:color="auto"/>
              <w:left w:val="single" w:sz="8" w:space="0" w:color="auto"/>
              <w:bottom w:val="single" w:sz="8" w:space="0" w:color="000000"/>
              <w:right w:val="single" w:sz="8" w:space="0" w:color="000000"/>
            </w:tcBorders>
            <w:vAlign w:val="center"/>
            <w:hideMark/>
          </w:tcPr>
          <w:p w:rsidR="001F46CD" w:rsidRPr="001F46CD" w:rsidRDefault="001F46CD" w:rsidP="001F46CD">
            <w:pPr>
              <w:spacing w:after="0" w:line="240" w:lineRule="auto"/>
              <w:rPr>
                <w:rFonts w:ascii="Cambria" w:eastAsia="Times New Roman" w:hAnsi="Cambria" w:cs="Times New Roman"/>
                <w:b/>
                <w:bCs/>
                <w:color w:val="000000"/>
                <w:sz w:val="24"/>
                <w:szCs w:val="24"/>
              </w:rPr>
            </w:pPr>
          </w:p>
        </w:tc>
        <w:tc>
          <w:tcPr>
            <w:tcW w:w="2363" w:type="dxa"/>
            <w:vMerge/>
            <w:tcBorders>
              <w:top w:val="nil"/>
              <w:left w:val="single" w:sz="8" w:space="0" w:color="auto"/>
              <w:bottom w:val="single" w:sz="8" w:space="0" w:color="000000"/>
              <w:right w:val="single" w:sz="8" w:space="0" w:color="auto"/>
            </w:tcBorders>
            <w:vAlign w:val="center"/>
            <w:hideMark/>
          </w:tcPr>
          <w:p w:rsidR="001F46CD" w:rsidRPr="001F46CD" w:rsidRDefault="001F46CD" w:rsidP="001F46CD">
            <w:pPr>
              <w:spacing w:after="0" w:line="240" w:lineRule="auto"/>
              <w:rPr>
                <w:rFonts w:ascii="Cambria" w:eastAsia="Times New Roman" w:hAnsi="Cambria" w:cs="Times New Roman"/>
                <w:b/>
                <w:bCs/>
                <w:color w:val="000000"/>
                <w:sz w:val="20"/>
                <w:szCs w:val="20"/>
              </w:rPr>
            </w:pPr>
          </w:p>
        </w:tc>
        <w:tc>
          <w:tcPr>
            <w:tcW w:w="1618" w:type="dxa"/>
            <w:vMerge/>
            <w:tcBorders>
              <w:top w:val="nil"/>
              <w:left w:val="single" w:sz="8" w:space="0" w:color="auto"/>
              <w:bottom w:val="single" w:sz="8" w:space="0" w:color="000000"/>
              <w:right w:val="single" w:sz="8" w:space="0" w:color="auto"/>
            </w:tcBorders>
            <w:vAlign w:val="center"/>
            <w:hideMark/>
          </w:tcPr>
          <w:p w:rsidR="001F46CD" w:rsidRPr="001F46CD" w:rsidRDefault="001F46CD" w:rsidP="001F46CD">
            <w:pPr>
              <w:spacing w:after="0" w:line="240" w:lineRule="auto"/>
              <w:rPr>
                <w:rFonts w:ascii="Cambria" w:eastAsia="Times New Roman" w:hAnsi="Cambria" w:cs="Times New Roman"/>
                <w:b/>
                <w:bCs/>
                <w:color w:val="000000"/>
                <w:sz w:val="20"/>
                <w:szCs w:val="20"/>
              </w:rPr>
            </w:pPr>
          </w:p>
        </w:tc>
      </w:tr>
      <w:tr w:rsidR="001F46CD" w:rsidRPr="001F46CD" w:rsidTr="001F46CD">
        <w:trPr>
          <w:trHeight w:val="315"/>
        </w:trPr>
        <w:tc>
          <w:tcPr>
            <w:tcW w:w="464" w:type="dxa"/>
            <w:tcBorders>
              <w:top w:val="nil"/>
              <w:left w:val="single" w:sz="8" w:space="0" w:color="auto"/>
              <w:bottom w:val="nil"/>
              <w:right w:val="nil"/>
            </w:tcBorders>
            <w:shd w:val="clear" w:color="000000" w:fill="8DB4E3"/>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I :</w:t>
            </w:r>
          </w:p>
        </w:tc>
        <w:tc>
          <w:tcPr>
            <w:tcW w:w="3802" w:type="dxa"/>
            <w:gridSpan w:val="4"/>
            <w:tcBorders>
              <w:top w:val="single" w:sz="8" w:space="0" w:color="auto"/>
              <w:left w:val="nil"/>
              <w:bottom w:val="single" w:sz="8" w:space="0" w:color="auto"/>
              <w:right w:val="single" w:sz="8" w:space="0" w:color="000000"/>
            </w:tcBorders>
            <w:shd w:val="clear" w:color="000000" w:fill="8DB4E3"/>
            <w:noWrap/>
            <w:vAlign w:val="center"/>
            <w:hideMark/>
          </w:tcPr>
          <w:p w:rsidR="001F46CD" w:rsidRPr="001F46CD" w:rsidRDefault="001F46CD" w:rsidP="001F46CD">
            <w:pPr>
              <w:spacing w:after="0" w:line="240" w:lineRule="auto"/>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 xml:space="preserve"> Total Current Revenues</w:t>
            </w:r>
          </w:p>
        </w:tc>
        <w:tc>
          <w:tcPr>
            <w:tcW w:w="2363" w:type="dxa"/>
            <w:tcBorders>
              <w:top w:val="nil"/>
              <w:left w:val="nil"/>
              <w:bottom w:val="single" w:sz="8" w:space="0" w:color="auto"/>
              <w:right w:val="single" w:sz="8" w:space="0" w:color="auto"/>
            </w:tcBorders>
            <w:shd w:val="clear" w:color="000000" w:fill="8DB4E3"/>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97.0%</w:t>
            </w:r>
          </w:p>
        </w:tc>
        <w:tc>
          <w:tcPr>
            <w:tcW w:w="1618" w:type="dxa"/>
            <w:tcBorders>
              <w:top w:val="nil"/>
              <w:left w:val="nil"/>
              <w:bottom w:val="single" w:sz="8" w:space="0" w:color="auto"/>
              <w:right w:val="single" w:sz="8" w:space="0" w:color="auto"/>
            </w:tcBorders>
            <w:shd w:val="clear" w:color="000000" w:fill="8DB4E3"/>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6%</w:t>
            </w:r>
          </w:p>
        </w:tc>
      </w:tr>
      <w:tr w:rsidR="001F46CD" w:rsidRPr="001F46CD" w:rsidTr="001F46CD">
        <w:trPr>
          <w:trHeight w:val="315"/>
        </w:trPr>
        <w:tc>
          <w:tcPr>
            <w:tcW w:w="464" w:type="dxa"/>
            <w:tcBorders>
              <w:top w:val="nil"/>
              <w:left w:val="single" w:sz="8" w:space="0" w:color="auto"/>
              <w:bottom w:val="nil"/>
              <w:right w:val="single" w:sz="8" w:space="0" w:color="auto"/>
            </w:tcBorders>
            <w:shd w:val="clear" w:color="000000" w:fill="8DB4E3"/>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53" w:type="dxa"/>
            <w:tcBorders>
              <w:top w:val="nil"/>
              <w:left w:val="nil"/>
              <w:bottom w:val="nil"/>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01</w:t>
            </w:r>
          </w:p>
        </w:tc>
        <w:tc>
          <w:tcPr>
            <w:tcW w:w="3349" w:type="dxa"/>
            <w:gridSpan w:val="3"/>
            <w:tcBorders>
              <w:top w:val="single" w:sz="8" w:space="0" w:color="auto"/>
              <w:left w:val="nil"/>
              <w:bottom w:val="single" w:sz="8" w:space="0" w:color="auto"/>
              <w:right w:val="single" w:sz="8" w:space="0" w:color="000000"/>
            </w:tcBorders>
            <w:shd w:val="clear" w:color="000000" w:fill="C2D69A"/>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xml:space="preserve"> Current Revenues</w:t>
            </w:r>
          </w:p>
        </w:tc>
        <w:tc>
          <w:tcPr>
            <w:tcW w:w="2363" w:type="dxa"/>
            <w:tcBorders>
              <w:top w:val="nil"/>
              <w:left w:val="nil"/>
              <w:bottom w:val="single" w:sz="8" w:space="0" w:color="auto"/>
              <w:right w:val="single" w:sz="8"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97.0%</w:t>
            </w:r>
          </w:p>
        </w:tc>
        <w:tc>
          <w:tcPr>
            <w:tcW w:w="1618" w:type="dxa"/>
            <w:tcBorders>
              <w:top w:val="nil"/>
              <w:left w:val="nil"/>
              <w:bottom w:val="single" w:sz="8" w:space="0" w:color="auto"/>
              <w:right w:val="single" w:sz="8"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6%</w:t>
            </w:r>
          </w:p>
        </w:tc>
      </w:tr>
      <w:tr w:rsidR="001F46CD" w:rsidRPr="001F46CD" w:rsidTr="001F46CD">
        <w:trPr>
          <w:trHeight w:val="300"/>
        </w:trPr>
        <w:tc>
          <w:tcPr>
            <w:tcW w:w="464" w:type="dxa"/>
            <w:tcBorders>
              <w:top w:val="nil"/>
              <w:left w:val="single" w:sz="8" w:space="0" w:color="auto"/>
              <w:bottom w:val="nil"/>
              <w:right w:val="single" w:sz="8" w:space="0" w:color="auto"/>
            </w:tcBorders>
            <w:shd w:val="clear" w:color="000000" w:fill="8DB4E3"/>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53" w:type="dxa"/>
            <w:tcBorders>
              <w:top w:val="nil"/>
              <w:left w:val="nil"/>
              <w:bottom w:val="nil"/>
              <w:right w:val="single" w:sz="8" w:space="0" w:color="auto"/>
            </w:tcBorders>
            <w:shd w:val="clear" w:color="000000" w:fill="C2D69A"/>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3349" w:type="dxa"/>
            <w:gridSpan w:val="3"/>
            <w:tcBorders>
              <w:top w:val="single" w:sz="8" w:space="0" w:color="auto"/>
              <w:left w:val="nil"/>
              <w:bottom w:val="nil"/>
              <w:right w:val="single" w:sz="8" w:space="0" w:color="000000"/>
            </w:tcBorders>
            <w:shd w:val="clear" w:color="000000" w:fill="93CDDD"/>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xml:space="preserve">      Tax Revenues</w:t>
            </w:r>
          </w:p>
        </w:tc>
        <w:tc>
          <w:tcPr>
            <w:tcW w:w="2363" w:type="dxa"/>
            <w:tcBorders>
              <w:top w:val="nil"/>
              <w:left w:val="nil"/>
              <w:bottom w:val="single" w:sz="4" w:space="0" w:color="auto"/>
              <w:right w:val="single" w:sz="8" w:space="0" w:color="auto"/>
            </w:tcBorders>
            <w:shd w:val="clear" w:color="000000" w:fill="93CDDD"/>
            <w:noWrap/>
            <w:vAlign w:val="center"/>
            <w:hideMark/>
          </w:tcPr>
          <w:p w:rsidR="001F46CD" w:rsidRPr="001F46CD" w:rsidRDefault="00672E95" w:rsidP="001F46CD">
            <w:pPr>
              <w:spacing w:after="0" w:line="240" w:lineRule="auto"/>
              <w:jc w:val="center"/>
              <w:rPr>
                <w:rFonts w:ascii="Cambria" w:eastAsia="Times New Roman" w:hAnsi="Cambria" w:cs="Times New Roman"/>
                <w:color w:val="000000"/>
                <w:sz w:val="20"/>
                <w:szCs w:val="20"/>
              </w:rPr>
            </w:pPr>
            <w:r>
              <w:rPr>
                <w:rFonts w:ascii="Cambria" w:eastAsia="Times New Roman" w:hAnsi="Cambria" w:cs="Times New Roman"/>
                <w:color w:val="000000"/>
                <w:sz w:val="20"/>
                <w:szCs w:val="20"/>
              </w:rPr>
              <w:t>24</w:t>
            </w:r>
            <w:r w:rsidR="001F46CD" w:rsidRPr="001F46CD">
              <w:rPr>
                <w:rFonts w:ascii="Cambria" w:eastAsia="Times New Roman" w:hAnsi="Cambria" w:cs="Times New Roman"/>
                <w:color w:val="000000"/>
                <w:sz w:val="20"/>
                <w:szCs w:val="20"/>
              </w:rPr>
              <w:t>%</w:t>
            </w:r>
          </w:p>
        </w:tc>
        <w:tc>
          <w:tcPr>
            <w:tcW w:w="1618" w:type="dxa"/>
            <w:tcBorders>
              <w:top w:val="nil"/>
              <w:left w:val="nil"/>
              <w:bottom w:val="single" w:sz="4" w:space="0" w:color="auto"/>
              <w:right w:val="single" w:sz="8" w:space="0" w:color="auto"/>
            </w:tcBorders>
            <w:shd w:val="clear" w:color="000000" w:fill="93CDDD"/>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10%</w:t>
            </w:r>
          </w:p>
        </w:tc>
      </w:tr>
      <w:tr w:rsidR="001F46CD" w:rsidRPr="001F46CD" w:rsidTr="001F46CD">
        <w:trPr>
          <w:trHeight w:val="300"/>
        </w:trPr>
        <w:tc>
          <w:tcPr>
            <w:tcW w:w="464" w:type="dxa"/>
            <w:tcBorders>
              <w:top w:val="nil"/>
              <w:left w:val="single" w:sz="8" w:space="0" w:color="auto"/>
              <w:bottom w:val="nil"/>
              <w:right w:val="single" w:sz="8" w:space="0" w:color="auto"/>
            </w:tcBorders>
            <w:shd w:val="clear" w:color="000000" w:fill="8DB4E3"/>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53" w:type="dxa"/>
            <w:tcBorders>
              <w:top w:val="nil"/>
              <w:left w:val="nil"/>
              <w:bottom w:val="nil"/>
              <w:right w:val="single" w:sz="8" w:space="0" w:color="auto"/>
            </w:tcBorders>
            <w:shd w:val="clear" w:color="000000" w:fill="C2D69A"/>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261" w:type="dxa"/>
            <w:tcBorders>
              <w:top w:val="nil"/>
              <w:left w:val="nil"/>
              <w:bottom w:val="nil"/>
              <w:right w:val="single" w:sz="4" w:space="0" w:color="auto"/>
            </w:tcBorders>
            <w:shd w:val="clear" w:color="000000" w:fill="93CDDD"/>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38" w:type="dxa"/>
            <w:tcBorders>
              <w:top w:val="single" w:sz="4" w:space="0" w:color="auto"/>
              <w:left w:val="nil"/>
              <w:bottom w:val="single" w:sz="4" w:space="0" w:color="auto"/>
              <w:right w:val="single" w:sz="4" w:space="0" w:color="auto"/>
            </w:tcBorders>
            <w:shd w:val="clear" w:color="000000" w:fill="FFFFFF"/>
            <w:noWrap/>
            <w:vAlign w:val="center"/>
            <w:hideMark/>
          </w:tcPr>
          <w:p w:rsidR="001F46CD" w:rsidRPr="001F46CD" w:rsidRDefault="001F46CD" w:rsidP="001F46CD">
            <w:pPr>
              <w:spacing w:after="0" w:line="240" w:lineRule="auto"/>
              <w:jc w:val="center"/>
              <w:rPr>
                <w:rFonts w:ascii="Cambria" w:eastAsia="Times New Roman" w:hAnsi="Cambria" w:cs="Times New Roman"/>
                <w:sz w:val="20"/>
                <w:szCs w:val="20"/>
              </w:rPr>
            </w:pPr>
            <w:r w:rsidRPr="001F46CD">
              <w:rPr>
                <w:rFonts w:ascii="Cambria" w:eastAsia="Times New Roman" w:hAnsi="Cambria" w:cs="Times New Roman"/>
                <w:sz w:val="20"/>
                <w:szCs w:val="20"/>
              </w:rPr>
              <w:t>01</w:t>
            </w:r>
          </w:p>
        </w:tc>
        <w:tc>
          <w:tcPr>
            <w:tcW w:w="2650" w:type="dxa"/>
            <w:tcBorders>
              <w:top w:val="single" w:sz="4" w:space="0" w:color="auto"/>
              <w:left w:val="nil"/>
              <w:bottom w:val="single" w:sz="4" w:space="0" w:color="auto"/>
              <w:right w:val="single" w:sz="8" w:space="0" w:color="auto"/>
            </w:tcBorders>
            <w:shd w:val="clear" w:color="auto" w:fill="auto"/>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Central Tax Revenues</w:t>
            </w:r>
          </w:p>
        </w:tc>
        <w:tc>
          <w:tcPr>
            <w:tcW w:w="2363"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23.2%</w:t>
            </w:r>
          </w:p>
        </w:tc>
        <w:tc>
          <w:tcPr>
            <w:tcW w:w="1618"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11%</w:t>
            </w:r>
          </w:p>
        </w:tc>
      </w:tr>
      <w:tr w:rsidR="001F46CD" w:rsidRPr="001F46CD" w:rsidTr="001F46CD">
        <w:trPr>
          <w:trHeight w:val="300"/>
        </w:trPr>
        <w:tc>
          <w:tcPr>
            <w:tcW w:w="464" w:type="dxa"/>
            <w:tcBorders>
              <w:top w:val="nil"/>
              <w:left w:val="single" w:sz="8" w:space="0" w:color="auto"/>
              <w:bottom w:val="nil"/>
              <w:right w:val="single" w:sz="8" w:space="0" w:color="auto"/>
            </w:tcBorders>
            <w:shd w:val="clear" w:color="000000" w:fill="8DB4E3"/>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53" w:type="dxa"/>
            <w:tcBorders>
              <w:top w:val="nil"/>
              <w:left w:val="nil"/>
              <w:bottom w:val="nil"/>
              <w:right w:val="single" w:sz="8" w:space="0" w:color="auto"/>
            </w:tcBorders>
            <w:shd w:val="clear" w:color="000000" w:fill="C2D69A"/>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261" w:type="dxa"/>
            <w:tcBorders>
              <w:top w:val="nil"/>
              <w:left w:val="nil"/>
              <w:bottom w:val="nil"/>
              <w:right w:val="single" w:sz="4" w:space="0" w:color="auto"/>
            </w:tcBorders>
            <w:shd w:val="clear" w:color="000000" w:fill="93CDDD"/>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center"/>
            <w:hideMark/>
          </w:tcPr>
          <w:p w:rsidR="001F46CD" w:rsidRPr="001F46CD" w:rsidRDefault="001F46CD" w:rsidP="001F46CD">
            <w:pPr>
              <w:spacing w:after="0" w:line="240" w:lineRule="auto"/>
              <w:jc w:val="center"/>
              <w:rPr>
                <w:rFonts w:ascii="Cambria" w:eastAsia="Times New Roman" w:hAnsi="Cambria" w:cs="Times New Roman"/>
                <w:sz w:val="20"/>
                <w:szCs w:val="20"/>
              </w:rPr>
            </w:pPr>
            <w:r w:rsidRPr="001F46CD">
              <w:rPr>
                <w:rFonts w:ascii="Cambria" w:eastAsia="Times New Roman" w:hAnsi="Cambria" w:cs="Times New Roman"/>
                <w:sz w:val="20"/>
                <w:szCs w:val="20"/>
              </w:rPr>
              <w:t>02</w:t>
            </w:r>
          </w:p>
        </w:tc>
        <w:tc>
          <w:tcPr>
            <w:tcW w:w="2650" w:type="dxa"/>
            <w:tcBorders>
              <w:top w:val="nil"/>
              <w:left w:val="nil"/>
              <w:bottom w:val="single" w:sz="4" w:space="0" w:color="auto"/>
              <w:right w:val="single" w:sz="8" w:space="0" w:color="auto"/>
            </w:tcBorders>
            <w:shd w:val="clear" w:color="auto" w:fill="auto"/>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Local Tax Revenues</w:t>
            </w:r>
          </w:p>
        </w:tc>
        <w:tc>
          <w:tcPr>
            <w:tcW w:w="2363"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0.9%</w:t>
            </w:r>
          </w:p>
        </w:tc>
        <w:tc>
          <w:tcPr>
            <w:tcW w:w="1618"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w:t>
            </w:r>
          </w:p>
        </w:tc>
      </w:tr>
      <w:tr w:rsidR="001F46CD" w:rsidRPr="001F46CD" w:rsidTr="001F46CD">
        <w:trPr>
          <w:trHeight w:val="300"/>
        </w:trPr>
        <w:tc>
          <w:tcPr>
            <w:tcW w:w="464" w:type="dxa"/>
            <w:tcBorders>
              <w:top w:val="nil"/>
              <w:left w:val="single" w:sz="8" w:space="0" w:color="auto"/>
              <w:bottom w:val="nil"/>
              <w:right w:val="single" w:sz="8" w:space="0" w:color="auto"/>
            </w:tcBorders>
            <w:shd w:val="clear" w:color="000000" w:fill="8DB4E3"/>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53" w:type="dxa"/>
            <w:tcBorders>
              <w:top w:val="nil"/>
              <w:left w:val="nil"/>
              <w:bottom w:val="nil"/>
              <w:right w:val="single" w:sz="8" w:space="0" w:color="auto"/>
            </w:tcBorders>
            <w:shd w:val="clear" w:color="000000" w:fill="C2D69A"/>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3349" w:type="dxa"/>
            <w:gridSpan w:val="3"/>
            <w:tcBorders>
              <w:top w:val="nil"/>
              <w:left w:val="nil"/>
              <w:bottom w:val="nil"/>
              <w:right w:val="single" w:sz="8" w:space="0" w:color="000000"/>
            </w:tcBorders>
            <w:shd w:val="clear" w:color="000000" w:fill="93CDDD"/>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xml:space="preserve">     Oil and Gas Revenues</w:t>
            </w:r>
          </w:p>
        </w:tc>
        <w:tc>
          <w:tcPr>
            <w:tcW w:w="2363" w:type="dxa"/>
            <w:tcBorders>
              <w:top w:val="nil"/>
              <w:left w:val="nil"/>
              <w:bottom w:val="single" w:sz="4" w:space="0" w:color="auto"/>
              <w:right w:val="single" w:sz="8" w:space="0" w:color="auto"/>
            </w:tcBorders>
            <w:shd w:val="clear" w:color="000000" w:fill="93CDDD"/>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61.4%</w:t>
            </w:r>
          </w:p>
        </w:tc>
        <w:tc>
          <w:tcPr>
            <w:tcW w:w="1618" w:type="dxa"/>
            <w:tcBorders>
              <w:top w:val="nil"/>
              <w:left w:val="nil"/>
              <w:bottom w:val="single" w:sz="4" w:space="0" w:color="auto"/>
              <w:right w:val="single" w:sz="8" w:space="0" w:color="auto"/>
            </w:tcBorders>
            <w:shd w:val="clear" w:color="000000" w:fill="93CDDD"/>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3%</w:t>
            </w:r>
          </w:p>
        </w:tc>
      </w:tr>
      <w:tr w:rsidR="001F46CD" w:rsidRPr="001F46CD" w:rsidTr="001F46CD">
        <w:trPr>
          <w:trHeight w:val="300"/>
        </w:trPr>
        <w:tc>
          <w:tcPr>
            <w:tcW w:w="464" w:type="dxa"/>
            <w:tcBorders>
              <w:top w:val="nil"/>
              <w:left w:val="single" w:sz="8" w:space="0" w:color="auto"/>
              <w:bottom w:val="nil"/>
              <w:right w:val="single" w:sz="8" w:space="0" w:color="auto"/>
            </w:tcBorders>
            <w:shd w:val="clear" w:color="000000" w:fill="8DB4E3"/>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53" w:type="dxa"/>
            <w:tcBorders>
              <w:top w:val="nil"/>
              <w:left w:val="nil"/>
              <w:bottom w:val="nil"/>
              <w:right w:val="single" w:sz="8" w:space="0" w:color="auto"/>
            </w:tcBorders>
            <w:shd w:val="clear" w:color="000000" w:fill="C2D69A"/>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261" w:type="dxa"/>
            <w:tcBorders>
              <w:top w:val="nil"/>
              <w:left w:val="nil"/>
              <w:bottom w:val="nil"/>
              <w:right w:val="single" w:sz="4" w:space="0" w:color="auto"/>
            </w:tcBorders>
            <w:shd w:val="clear" w:color="000000" w:fill="93CDDD"/>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38" w:type="dxa"/>
            <w:tcBorders>
              <w:top w:val="single" w:sz="4" w:space="0" w:color="auto"/>
              <w:left w:val="nil"/>
              <w:bottom w:val="single" w:sz="4" w:space="0" w:color="auto"/>
              <w:right w:val="single" w:sz="4" w:space="0" w:color="auto"/>
            </w:tcBorders>
            <w:shd w:val="clear" w:color="000000" w:fill="FFFFFF"/>
            <w:noWrap/>
            <w:vAlign w:val="center"/>
            <w:hideMark/>
          </w:tcPr>
          <w:p w:rsidR="001F46CD" w:rsidRPr="001F46CD" w:rsidRDefault="001F46CD" w:rsidP="001F46CD">
            <w:pPr>
              <w:spacing w:after="0" w:line="240" w:lineRule="auto"/>
              <w:jc w:val="center"/>
              <w:rPr>
                <w:rFonts w:ascii="Cambria" w:eastAsia="Times New Roman" w:hAnsi="Cambria" w:cs="Times New Roman"/>
                <w:sz w:val="20"/>
                <w:szCs w:val="20"/>
              </w:rPr>
            </w:pPr>
            <w:r w:rsidRPr="001F46CD">
              <w:rPr>
                <w:rFonts w:ascii="Cambria" w:eastAsia="Times New Roman" w:hAnsi="Cambria" w:cs="Times New Roman"/>
                <w:sz w:val="20"/>
                <w:szCs w:val="20"/>
              </w:rPr>
              <w:t>01</w:t>
            </w:r>
          </w:p>
        </w:tc>
        <w:tc>
          <w:tcPr>
            <w:tcW w:w="2650" w:type="dxa"/>
            <w:tcBorders>
              <w:top w:val="single" w:sz="4" w:space="0" w:color="auto"/>
              <w:left w:val="nil"/>
              <w:bottom w:val="single" w:sz="4" w:space="0" w:color="auto"/>
              <w:right w:val="single" w:sz="8" w:space="0" w:color="auto"/>
            </w:tcBorders>
            <w:shd w:val="clear" w:color="auto" w:fill="auto"/>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Exported Crude Oil</w:t>
            </w:r>
          </w:p>
        </w:tc>
        <w:tc>
          <w:tcPr>
            <w:tcW w:w="2363"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35.1%</w:t>
            </w:r>
          </w:p>
        </w:tc>
        <w:tc>
          <w:tcPr>
            <w:tcW w:w="1618"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3%</w:t>
            </w:r>
          </w:p>
        </w:tc>
      </w:tr>
      <w:tr w:rsidR="001F46CD" w:rsidRPr="001F46CD" w:rsidTr="001F46CD">
        <w:trPr>
          <w:trHeight w:val="300"/>
        </w:trPr>
        <w:tc>
          <w:tcPr>
            <w:tcW w:w="464" w:type="dxa"/>
            <w:tcBorders>
              <w:top w:val="nil"/>
              <w:left w:val="single" w:sz="8" w:space="0" w:color="auto"/>
              <w:bottom w:val="nil"/>
              <w:right w:val="single" w:sz="8" w:space="0" w:color="auto"/>
            </w:tcBorders>
            <w:shd w:val="clear" w:color="000000" w:fill="8DB4E3"/>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53" w:type="dxa"/>
            <w:tcBorders>
              <w:top w:val="nil"/>
              <w:left w:val="nil"/>
              <w:bottom w:val="nil"/>
              <w:right w:val="single" w:sz="8" w:space="0" w:color="auto"/>
            </w:tcBorders>
            <w:shd w:val="clear" w:color="000000" w:fill="C2D69A"/>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261" w:type="dxa"/>
            <w:tcBorders>
              <w:top w:val="nil"/>
              <w:left w:val="nil"/>
              <w:bottom w:val="nil"/>
              <w:right w:val="single" w:sz="4" w:space="0" w:color="auto"/>
            </w:tcBorders>
            <w:shd w:val="clear" w:color="000000" w:fill="93CDDD"/>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center"/>
            <w:hideMark/>
          </w:tcPr>
          <w:p w:rsidR="001F46CD" w:rsidRPr="001F46CD" w:rsidRDefault="001F46CD" w:rsidP="001F46CD">
            <w:pPr>
              <w:spacing w:after="0" w:line="240" w:lineRule="auto"/>
              <w:jc w:val="center"/>
              <w:rPr>
                <w:rFonts w:ascii="Cambria" w:eastAsia="Times New Roman" w:hAnsi="Cambria" w:cs="Times New Roman"/>
                <w:sz w:val="20"/>
                <w:szCs w:val="20"/>
              </w:rPr>
            </w:pPr>
            <w:r w:rsidRPr="001F46CD">
              <w:rPr>
                <w:rFonts w:ascii="Cambria" w:eastAsia="Times New Roman" w:hAnsi="Cambria" w:cs="Times New Roman"/>
                <w:sz w:val="20"/>
                <w:szCs w:val="20"/>
              </w:rPr>
              <w:t>02</w:t>
            </w:r>
          </w:p>
        </w:tc>
        <w:tc>
          <w:tcPr>
            <w:tcW w:w="2650" w:type="dxa"/>
            <w:tcBorders>
              <w:top w:val="nil"/>
              <w:left w:val="nil"/>
              <w:bottom w:val="single" w:sz="4" w:space="0" w:color="auto"/>
              <w:right w:val="single" w:sz="8" w:space="0" w:color="auto"/>
            </w:tcBorders>
            <w:shd w:val="clear" w:color="auto" w:fill="auto"/>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Domestic  Oil Revenues</w:t>
            </w:r>
          </w:p>
        </w:tc>
        <w:tc>
          <w:tcPr>
            <w:tcW w:w="2363"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24.8%</w:t>
            </w:r>
          </w:p>
        </w:tc>
        <w:tc>
          <w:tcPr>
            <w:tcW w:w="1618"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9%</w:t>
            </w:r>
          </w:p>
        </w:tc>
      </w:tr>
      <w:tr w:rsidR="001F46CD" w:rsidRPr="001F46CD" w:rsidTr="001F46CD">
        <w:trPr>
          <w:trHeight w:val="300"/>
        </w:trPr>
        <w:tc>
          <w:tcPr>
            <w:tcW w:w="464" w:type="dxa"/>
            <w:tcBorders>
              <w:top w:val="nil"/>
              <w:left w:val="single" w:sz="8" w:space="0" w:color="auto"/>
              <w:bottom w:val="nil"/>
              <w:right w:val="single" w:sz="8" w:space="0" w:color="auto"/>
            </w:tcBorders>
            <w:shd w:val="clear" w:color="000000" w:fill="8DB4E3"/>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53" w:type="dxa"/>
            <w:tcBorders>
              <w:top w:val="nil"/>
              <w:left w:val="nil"/>
              <w:bottom w:val="nil"/>
              <w:right w:val="single" w:sz="8" w:space="0" w:color="auto"/>
            </w:tcBorders>
            <w:shd w:val="clear" w:color="000000" w:fill="C2D69A"/>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261" w:type="dxa"/>
            <w:tcBorders>
              <w:top w:val="nil"/>
              <w:left w:val="nil"/>
              <w:bottom w:val="nil"/>
              <w:right w:val="single" w:sz="4" w:space="0" w:color="auto"/>
            </w:tcBorders>
            <w:shd w:val="clear" w:color="000000" w:fill="93CDDD"/>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center"/>
            <w:hideMark/>
          </w:tcPr>
          <w:p w:rsidR="001F46CD" w:rsidRPr="001F46CD" w:rsidRDefault="001F46CD" w:rsidP="001F46CD">
            <w:pPr>
              <w:spacing w:after="0" w:line="240" w:lineRule="auto"/>
              <w:jc w:val="center"/>
              <w:rPr>
                <w:rFonts w:ascii="Cambria" w:eastAsia="Times New Roman" w:hAnsi="Cambria" w:cs="Times New Roman"/>
                <w:sz w:val="20"/>
                <w:szCs w:val="20"/>
              </w:rPr>
            </w:pPr>
            <w:r w:rsidRPr="001F46CD">
              <w:rPr>
                <w:rFonts w:ascii="Cambria" w:eastAsia="Times New Roman" w:hAnsi="Cambria" w:cs="Times New Roman"/>
                <w:sz w:val="20"/>
                <w:szCs w:val="20"/>
              </w:rPr>
              <w:t>03</w:t>
            </w:r>
          </w:p>
        </w:tc>
        <w:tc>
          <w:tcPr>
            <w:tcW w:w="2650" w:type="dxa"/>
            <w:tcBorders>
              <w:top w:val="nil"/>
              <w:left w:val="nil"/>
              <w:bottom w:val="single" w:sz="4" w:space="0" w:color="auto"/>
              <w:right w:val="single" w:sz="8" w:space="0" w:color="auto"/>
            </w:tcBorders>
            <w:shd w:val="clear" w:color="auto" w:fill="auto"/>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Gas Exports</w:t>
            </w:r>
          </w:p>
        </w:tc>
        <w:tc>
          <w:tcPr>
            <w:tcW w:w="2363"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0.8%</w:t>
            </w:r>
          </w:p>
        </w:tc>
        <w:tc>
          <w:tcPr>
            <w:tcW w:w="1618"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-11%</w:t>
            </w:r>
          </w:p>
        </w:tc>
      </w:tr>
      <w:tr w:rsidR="001F46CD" w:rsidRPr="001F46CD" w:rsidTr="001F46CD">
        <w:trPr>
          <w:trHeight w:val="300"/>
        </w:trPr>
        <w:tc>
          <w:tcPr>
            <w:tcW w:w="464" w:type="dxa"/>
            <w:tcBorders>
              <w:top w:val="nil"/>
              <w:left w:val="single" w:sz="8" w:space="0" w:color="auto"/>
              <w:bottom w:val="nil"/>
              <w:right w:val="single" w:sz="8" w:space="0" w:color="auto"/>
            </w:tcBorders>
            <w:shd w:val="clear" w:color="000000" w:fill="8DB4E3"/>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53" w:type="dxa"/>
            <w:tcBorders>
              <w:top w:val="nil"/>
              <w:left w:val="nil"/>
              <w:bottom w:val="nil"/>
              <w:right w:val="single" w:sz="8" w:space="0" w:color="auto"/>
            </w:tcBorders>
            <w:shd w:val="clear" w:color="000000" w:fill="C2D69A"/>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261" w:type="dxa"/>
            <w:tcBorders>
              <w:top w:val="nil"/>
              <w:left w:val="nil"/>
              <w:bottom w:val="nil"/>
              <w:right w:val="single" w:sz="4" w:space="0" w:color="auto"/>
            </w:tcBorders>
            <w:shd w:val="clear" w:color="000000" w:fill="93CDDD"/>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38" w:type="dxa"/>
            <w:tcBorders>
              <w:top w:val="nil"/>
              <w:left w:val="nil"/>
              <w:bottom w:val="single" w:sz="4" w:space="0" w:color="auto"/>
              <w:right w:val="single" w:sz="4" w:space="0" w:color="auto"/>
            </w:tcBorders>
            <w:shd w:val="clear" w:color="000000" w:fill="FFFFFF"/>
            <w:noWrap/>
            <w:vAlign w:val="center"/>
            <w:hideMark/>
          </w:tcPr>
          <w:p w:rsidR="001F46CD" w:rsidRPr="001F46CD" w:rsidRDefault="001F46CD" w:rsidP="001F46CD">
            <w:pPr>
              <w:spacing w:after="0" w:line="240" w:lineRule="auto"/>
              <w:jc w:val="center"/>
              <w:rPr>
                <w:rFonts w:ascii="Cambria" w:eastAsia="Times New Roman" w:hAnsi="Cambria" w:cs="Times New Roman"/>
                <w:sz w:val="20"/>
                <w:szCs w:val="20"/>
              </w:rPr>
            </w:pPr>
            <w:r w:rsidRPr="001F46CD">
              <w:rPr>
                <w:rFonts w:ascii="Cambria" w:eastAsia="Times New Roman" w:hAnsi="Cambria" w:cs="Times New Roman"/>
                <w:sz w:val="20"/>
                <w:szCs w:val="20"/>
              </w:rPr>
              <w:t>04</w:t>
            </w:r>
          </w:p>
        </w:tc>
        <w:tc>
          <w:tcPr>
            <w:tcW w:w="2650" w:type="dxa"/>
            <w:tcBorders>
              <w:top w:val="nil"/>
              <w:left w:val="nil"/>
              <w:bottom w:val="single" w:sz="4" w:space="0" w:color="auto"/>
              <w:right w:val="single" w:sz="8" w:space="0" w:color="auto"/>
            </w:tcBorders>
            <w:shd w:val="clear" w:color="auto" w:fill="auto"/>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Domestic Gas Sales</w:t>
            </w:r>
          </w:p>
        </w:tc>
        <w:tc>
          <w:tcPr>
            <w:tcW w:w="2363"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1.5%</w:t>
            </w:r>
          </w:p>
        </w:tc>
        <w:tc>
          <w:tcPr>
            <w:tcW w:w="1618" w:type="dxa"/>
            <w:tcBorders>
              <w:top w:val="nil"/>
              <w:left w:val="nil"/>
              <w:bottom w:val="single" w:sz="4" w:space="0" w:color="auto"/>
              <w:right w:val="single" w:sz="8" w:space="0" w:color="auto"/>
            </w:tcBorders>
            <w:shd w:val="clear" w:color="000000" w:fill="F2F2F2"/>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27%</w:t>
            </w:r>
          </w:p>
        </w:tc>
      </w:tr>
      <w:tr w:rsidR="001F46CD" w:rsidRPr="001F46CD" w:rsidTr="001F46CD">
        <w:trPr>
          <w:trHeight w:val="330"/>
        </w:trPr>
        <w:tc>
          <w:tcPr>
            <w:tcW w:w="464" w:type="dxa"/>
            <w:tcBorders>
              <w:top w:val="nil"/>
              <w:left w:val="single" w:sz="8" w:space="0" w:color="auto"/>
              <w:bottom w:val="nil"/>
              <w:right w:val="single" w:sz="8" w:space="0" w:color="auto"/>
            </w:tcBorders>
            <w:shd w:val="clear" w:color="000000" w:fill="8DB4E3"/>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53" w:type="dxa"/>
            <w:tcBorders>
              <w:top w:val="nil"/>
              <w:left w:val="nil"/>
              <w:bottom w:val="single" w:sz="8" w:space="0" w:color="auto"/>
              <w:right w:val="single" w:sz="8" w:space="0" w:color="auto"/>
            </w:tcBorders>
            <w:shd w:val="clear" w:color="000000" w:fill="C2D69A"/>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3349" w:type="dxa"/>
            <w:gridSpan w:val="3"/>
            <w:tcBorders>
              <w:top w:val="nil"/>
              <w:left w:val="nil"/>
              <w:bottom w:val="single" w:sz="8" w:space="0" w:color="auto"/>
              <w:right w:val="single" w:sz="8" w:space="0" w:color="000000"/>
            </w:tcBorders>
            <w:shd w:val="clear" w:color="000000" w:fill="93CDDD"/>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xml:space="preserve">   Other Non-Tax Current Revenues</w:t>
            </w:r>
          </w:p>
        </w:tc>
        <w:tc>
          <w:tcPr>
            <w:tcW w:w="2363" w:type="dxa"/>
            <w:tcBorders>
              <w:top w:val="nil"/>
              <w:left w:val="nil"/>
              <w:bottom w:val="nil"/>
              <w:right w:val="single" w:sz="8" w:space="0" w:color="auto"/>
            </w:tcBorders>
            <w:shd w:val="clear" w:color="000000" w:fill="93CDDD"/>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11%</w:t>
            </w:r>
          </w:p>
        </w:tc>
        <w:tc>
          <w:tcPr>
            <w:tcW w:w="1618" w:type="dxa"/>
            <w:tcBorders>
              <w:top w:val="nil"/>
              <w:left w:val="nil"/>
              <w:bottom w:val="nil"/>
              <w:right w:val="single" w:sz="8" w:space="0" w:color="auto"/>
            </w:tcBorders>
            <w:shd w:val="clear" w:color="000000" w:fill="93CDDD"/>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15%</w:t>
            </w:r>
          </w:p>
        </w:tc>
      </w:tr>
      <w:tr w:rsidR="001F46CD" w:rsidRPr="001F46CD" w:rsidTr="001F46CD">
        <w:trPr>
          <w:trHeight w:val="315"/>
        </w:trPr>
        <w:tc>
          <w:tcPr>
            <w:tcW w:w="464" w:type="dxa"/>
            <w:tcBorders>
              <w:top w:val="nil"/>
              <w:left w:val="single" w:sz="8" w:space="0" w:color="auto"/>
              <w:bottom w:val="single" w:sz="8" w:space="0" w:color="auto"/>
              <w:right w:val="single" w:sz="8" w:space="0" w:color="auto"/>
            </w:tcBorders>
            <w:shd w:val="clear" w:color="000000" w:fill="8DB4E3"/>
            <w:noWrap/>
            <w:vAlign w:val="bottom"/>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w:t>
            </w:r>
          </w:p>
        </w:tc>
        <w:tc>
          <w:tcPr>
            <w:tcW w:w="453" w:type="dxa"/>
            <w:tcBorders>
              <w:top w:val="nil"/>
              <w:left w:val="nil"/>
              <w:bottom w:val="single" w:sz="8" w:space="0" w:color="auto"/>
              <w:right w:val="single" w:sz="4"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02</w:t>
            </w:r>
          </w:p>
        </w:tc>
        <w:tc>
          <w:tcPr>
            <w:tcW w:w="3349" w:type="dxa"/>
            <w:gridSpan w:val="3"/>
            <w:tcBorders>
              <w:top w:val="single" w:sz="8" w:space="0" w:color="auto"/>
              <w:left w:val="nil"/>
              <w:bottom w:val="single" w:sz="8" w:space="0" w:color="auto"/>
              <w:right w:val="single" w:sz="8" w:space="0" w:color="000000"/>
            </w:tcBorders>
            <w:shd w:val="clear" w:color="000000" w:fill="C2D69A"/>
            <w:noWrap/>
            <w:vAlign w:val="center"/>
            <w:hideMark/>
          </w:tcPr>
          <w:p w:rsidR="001F46CD" w:rsidRPr="001F46CD" w:rsidRDefault="001F46CD" w:rsidP="001F46CD">
            <w:pPr>
              <w:spacing w:after="0" w:line="240" w:lineRule="auto"/>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 xml:space="preserve"> Current Revenues &amp; Transfers</w:t>
            </w:r>
          </w:p>
        </w:tc>
        <w:tc>
          <w:tcPr>
            <w:tcW w:w="2363" w:type="dxa"/>
            <w:tcBorders>
              <w:top w:val="single" w:sz="8" w:space="0" w:color="auto"/>
              <w:left w:val="nil"/>
              <w:bottom w:val="single" w:sz="8" w:space="0" w:color="auto"/>
              <w:right w:val="single" w:sz="8"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0.0%</w:t>
            </w:r>
          </w:p>
        </w:tc>
        <w:tc>
          <w:tcPr>
            <w:tcW w:w="1618" w:type="dxa"/>
            <w:tcBorders>
              <w:top w:val="single" w:sz="8" w:space="0" w:color="auto"/>
              <w:left w:val="nil"/>
              <w:bottom w:val="single" w:sz="8" w:space="0" w:color="auto"/>
              <w:right w:val="single" w:sz="8"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0%</w:t>
            </w:r>
          </w:p>
        </w:tc>
      </w:tr>
      <w:tr w:rsidR="001F46CD" w:rsidRPr="001F46CD" w:rsidTr="001F46CD">
        <w:trPr>
          <w:trHeight w:val="315"/>
        </w:trPr>
        <w:tc>
          <w:tcPr>
            <w:tcW w:w="464" w:type="dxa"/>
            <w:tcBorders>
              <w:top w:val="nil"/>
              <w:left w:val="single" w:sz="8" w:space="0" w:color="auto"/>
              <w:bottom w:val="nil"/>
              <w:right w:val="nil"/>
            </w:tcBorders>
            <w:shd w:val="clear" w:color="000000" w:fill="8DB4E3"/>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II :</w:t>
            </w:r>
          </w:p>
        </w:tc>
        <w:tc>
          <w:tcPr>
            <w:tcW w:w="3802" w:type="dxa"/>
            <w:gridSpan w:val="4"/>
            <w:tcBorders>
              <w:top w:val="single" w:sz="8" w:space="0" w:color="auto"/>
              <w:left w:val="nil"/>
              <w:bottom w:val="single" w:sz="8" w:space="0" w:color="auto"/>
              <w:right w:val="single" w:sz="8" w:space="0" w:color="000000"/>
            </w:tcBorders>
            <w:shd w:val="clear" w:color="000000" w:fill="8DB4E3"/>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 xml:space="preserve"> Capital Revenues And Grants </w:t>
            </w:r>
          </w:p>
        </w:tc>
        <w:tc>
          <w:tcPr>
            <w:tcW w:w="2363" w:type="dxa"/>
            <w:tcBorders>
              <w:top w:val="nil"/>
              <w:left w:val="nil"/>
              <w:bottom w:val="nil"/>
              <w:right w:val="single" w:sz="8" w:space="0" w:color="auto"/>
            </w:tcBorders>
            <w:shd w:val="clear" w:color="000000" w:fill="8DB4E3"/>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3.0%</w:t>
            </w:r>
          </w:p>
        </w:tc>
        <w:tc>
          <w:tcPr>
            <w:tcW w:w="1618" w:type="dxa"/>
            <w:tcBorders>
              <w:top w:val="nil"/>
              <w:left w:val="nil"/>
              <w:bottom w:val="nil"/>
              <w:right w:val="single" w:sz="8" w:space="0" w:color="auto"/>
            </w:tcBorders>
            <w:shd w:val="clear" w:color="000000" w:fill="8DB4E3"/>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19%</w:t>
            </w:r>
          </w:p>
        </w:tc>
      </w:tr>
      <w:tr w:rsidR="001F46CD" w:rsidRPr="001F46CD" w:rsidTr="001F46CD">
        <w:trPr>
          <w:trHeight w:val="315"/>
        </w:trPr>
        <w:tc>
          <w:tcPr>
            <w:tcW w:w="4266" w:type="dxa"/>
            <w:gridSpan w:val="5"/>
            <w:tcBorders>
              <w:top w:val="single" w:sz="8" w:space="0" w:color="auto"/>
              <w:left w:val="single" w:sz="8" w:space="0" w:color="auto"/>
              <w:bottom w:val="single" w:sz="8" w:space="0" w:color="auto"/>
              <w:right w:val="nil"/>
            </w:tcBorders>
            <w:shd w:val="clear" w:color="000000" w:fill="17375D"/>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FFFFFF"/>
                <w:sz w:val="20"/>
                <w:szCs w:val="20"/>
              </w:rPr>
            </w:pPr>
            <w:r w:rsidRPr="001F46CD">
              <w:rPr>
                <w:rFonts w:ascii="Cambria" w:eastAsia="Times New Roman" w:hAnsi="Cambria" w:cs="Times New Roman"/>
                <w:b/>
                <w:bCs/>
                <w:color w:val="FFFFFF"/>
                <w:sz w:val="20"/>
                <w:szCs w:val="20"/>
              </w:rPr>
              <w:t>Total Revenues &amp; Grants</w:t>
            </w:r>
          </w:p>
        </w:tc>
        <w:tc>
          <w:tcPr>
            <w:tcW w:w="2363" w:type="dxa"/>
            <w:tcBorders>
              <w:top w:val="single" w:sz="8" w:space="0" w:color="auto"/>
              <w:left w:val="nil"/>
              <w:bottom w:val="single" w:sz="8" w:space="0" w:color="auto"/>
              <w:right w:val="single" w:sz="8" w:space="0" w:color="auto"/>
            </w:tcBorders>
            <w:shd w:val="clear" w:color="000000" w:fill="254061"/>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FFFFFF"/>
                <w:sz w:val="20"/>
                <w:szCs w:val="20"/>
              </w:rPr>
            </w:pPr>
            <w:r w:rsidRPr="001F46CD">
              <w:rPr>
                <w:rFonts w:ascii="Cambria" w:eastAsia="Times New Roman" w:hAnsi="Cambria" w:cs="Times New Roman"/>
                <w:b/>
                <w:bCs/>
                <w:color w:val="FFFFFF"/>
                <w:sz w:val="20"/>
                <w:szCs w:val="20"/>
              </w:rPr>
              <w:t>100%</w:t>
            </w:r>
          </w:p>
        </w:tc>
        <w:tc>
          <w:tcPr>
            <w:tcW w:w="1618" w:type="dxa"/>
            <w:tcBorders>
              <w:top w:val="single" w:sz="8" w:space="0" w:color="auto"/>
              <w:left w:val="nil"/>
              <w:bottom w:val="single" w:sz="8" w:space="0" w:color="auto"/>
              <w:right w:val="single" w:sz="8" w:space="0" w:color="auto"/>
            </w:tcBorders>
            <w:shd w:val="clear" w:color="000000" w:fill="254061"/>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FFFFFF"/>
                <w:sz w:val="20"/>
                <w:szCs w:val="20"/>
              </w:rPr>
            </w:pPr>
            <w:r w:rsidRPr="001F46CD">
              <w:rPr>
                <w:rFonts w:ascii="Cambria" w:eastAsia="Times New Roman" w:hAnsi="Cambria" w:cs="Times New Roman"/>
                <w:b/>
                <w:bCs/>
                <w:color w:val="FFFFFF"/>
                <w:sz w:val="20"/>
                <w:szCs w:val="20"/>
              </w:rPr>
              <w:t>8%</w:t>
            </w:r>
          </w:p>
        </w:tc>
      </w:tr>
      <w:tr w:rsidR="001F46CD" w:rsidRPr="001F46CD" w:rsidTr="001E7BA6">
        <w:trPr>
          <w:trHeight w:val="500"/>
        </w:trPr>
        <w:tc>
          <w:tcPr>
            <w:tcW w:w="4266" w:type="dxa"/>
            <w:gridSpan w:val="5"/>
            <w:tcBorders>
              <w:top w:val="single" w:sz="8" w:space="0" w:color="auto"/>
              <w:left w:val="single" w:sz="8" w:space="0" w:color="auto"/>
              <w:bottom w:val="nil"/>
              <w:right w:val="single" w:sz="8" w:space="0" w:color="000000"/>
            </w:tcBorders>
            <w:shd w:val="clear" w:color="000000" w:fill="FFFFFF"/>
            <w:noWrap/>
            <w:vAlign w:val="center"/>
            <w:hideMark/>
          </w:tcPr>
          <w:p w:rsidR="001F46CD" w:rsidRPr="001F46CD" w:rsidRDefault="001F46CD" w:rsidP="001F46CD">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      </w:t>
            </w:r>
            <w:r w:rsidRPr="001F46CD">
              <w:rPr>
                <w:rFonts w:ascii="Cambria" w:eastAsia="Times New Roman" w:hAnsi="Cambria" w:cs="Times New Roman"/>
                <w:b/>
                <w:bCs/>
                <w:color w:val="000000"/>
                <w:sz w:val="24"/>
                <w:szCs w:val="24"/>
              </w:rPr>
              <w:t>02 - Public Expenditures</w:t>
            </w:r>
          </w:p>
        </w:tc>
        <w:tc>
          <w:tcPr>
            <w:tcW w:w="2363" w:type="dxa"/>
            <w:tcBorders>
              <w:top w:val="nil"/>
              <w:left w:val="nil"/>
              <w:bottom w:val="nil"/>
              <w:right w:val="single" w:sz="8" w:space="0" w:color="auto"/>
            </w:tcBorders>
            <w:shd w:val="clear" w:color="000000" w:fill="FFFFFF"/>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 of Total Expending</w:t>
            </w:r>
          </w:p>
        </w:tc>
        <w:tc>
          <w:tcPr>
            <w:tcW w:w="1618" w:type="dxa"/>
            <w:tcBorders>
              <w:top w:val="nil"/>
              <w:left w:val="nil"/>
              <w:bottom w:val="nil"/>
              <w:right w:val="single" w:sz="8" w:space="0" w:color="auto"/>
            </w:tcBorders>
            <w:shd w:val="clear" w:color="000000" w:fill="FFFFFF"/>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5-Year Growth Rate</w:t>
            </w:r>
          </w:p>
        </w:tc>
      </w:tr>
      <w:tr w:rsidR="001F46CD" w:rsidRPr="001F46CD" w:rsidTr="001F46CD">
        <w:trPr>
          <w:trHeight w:val="315"/>
        </w:trPr>
        <w:tc>
          <w:tcPr>
            <w:tcW w:w="464" w:type="dxa"/>
            <w:tcBorders>
              <w:top w:val="single" w:sz="4" w:space="0" w:color="auto"/>
              <w:left w:val="single" w:sz="8" w:space="0" w:color="auto"/>
              <w:bottom w:val="nil"/>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1</w:t>
            </w:r>
          </w:p>
        </w:tc>
        <w:tc>
          <w:tcPr>
            <w:tcW w:w="3802" w:type="dxa"/>
            <w:gridSpan w:val="4"/>
            <w:tcBorders>
              <w:top w:val="single" w:sz="8" w:space="0" w:color="auto"/>
              <w:left w:val="nil"/>
              <w:bottom w:val="single" w:sz="8" w:space="0" w:color="auto"/>
              <w:right w:val="single" w:sz="4" w:space="0" w:color="000000"/>
            </w:tcBorders>
            <w:shd w:val="clear" w:color="000000" w:fill="C2D69A"/>
            <w:noWrap/>
            <w:vAlign w:val="center"/>
            <w:hideMark/>
          </w:tcPr>
          <w:p w:rsidR="001F46CD" w:rsidRPr="001F46CD" w:rsidRDefault="001F46CD" w:rsidP="001F46CD">
            <w:pPr>
              <w:spacing w:after="0" w:line="240" w:lineRule="auto"/>
              <w:rPr>
                <w:rFonts w:ascii="Cambria" w:eastAsia="Times New Roman" w:hAnsi="Cambria" w:cs="Times New Roman"/>
                <w:b/>
                <w:bCs/>
                <w:sz w:val="20"/>
                <w:szCs w:val="20"/>
              </w:rPr>
            </w:pPr>
            <w:r w:rsidRPr="001F46CD">
              <w:rPr>
                <w:rFonts w:ascii="Cambria" w:eastAsia="Times New Roman" w:hAnsi="Cambria" w:cs="Times New Roman"/>
                <w:b/>
                <w:bCs/>
                <w:sz w:val="20"/>
                <w:szCs w:val="20"/>
              </w:rPr>
              <w:t>Compensation Of Employees</w:t>
            </w:r>
          </w:p>
        </w:tc>
        <w:tc>
          <w:tcPr>
            <w:tcW w:w="2363" w:type="dxa"/>
            <w:tcBorders>
              <w:top w:val="single" w:sz="4" w:space="0" w:color="auto"/>
              <w:left w:val="nil"/>
              <w:bottom w:val="single" w:sz="8" w:space="0" w:color="auto"/>
              <w:right w:val="single" w:sz="4"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30.1%</w:t>
            </w:r>
          </w:p>
        </w:tc>
        <w:tc>
          <w:tcPr>
            <w:tcW w:w="1618" w:type="dxa"/>
            <w:tcBorders>
              <w:top w:val="single" w:sz="4" w:space="0" w:color="auto"/>
              <w:left w:val="nil"/>
              <w:bottom w:val="single" w:sz="8" w:space="0" w:color="auto"/>
              <w:right w:val="single" w:sz="8"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11%</w:t>
            </w:r>
          </w:p>
        </w:tc>
      </w:tr>
      <w:tr w:rsidR="001F46CD" w:rsidRPr="001F46CD" w:rsidTr="001F46CD">
        <w:trPr>
          <w:trHeight w:val="300"/>
        </w:trPr>
        <w:tc>
          <w:tcPr>
            <w:tcW w:w="464" w:type="dxa"/>
            <w:tcBorders>
              <w:top w:val="nil"/>
              <w:left w:val="single" w:sz="8" w:space="0" w:color="auto"/>
              <w:bottom w:val="nil"/>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 </w:t>
            </w:r>
          </w:p>
        </w:tc>
        <w:tc>
          <w:tcPr>
            <w:tcW w:w="453" w:type="dxa"/>
            <w:tcBorders>
              <w:top w:val="nil"/>
              <w:left w:val="single" w:sz="8" w:space="0" w:color="auto"/>
              <w:bottom w:val="single" w:sz="4" w:space="0" w:color="auto"/>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sz w:val="20"/>
                <w:szCs w:val="20"/>
              </w:rPr>
            </w:pPr>
            <w:r w:rsidRPr="001F46CD">
              <w:rPr>
                <w:rFonts w:ascii="Cambria" w:eastAsia="Times New Roman" w:hAnsi="Cambria" w:cs="Times New Roman"/>
                <w:sz w:val="20"/>
                <w:szCs w:val="20"/>
              </w:rPr>
              <w:t>01</w:t>
            </w:r>
          </w:p>
        </w:tc>
        <w:tc>
          <w:tcPr>
            <w:tcW w:w="3349" w:type="dxa"/>
            <w:gridSpan w:val="3"/>
            <w:tcBorders>
              <w:top w:val="single" w:sz="8" w:space="0" w:color="auto"/>
              <w:left w:val="nil"/>
              <w:bottom w:val="single" w:sz="4" w:space="0" w:color="auto"/>
              <w:right w:val="single" w:sz="4" w:space="0" w:color="000000"/>
            </w:tcBorders>
            <w:shd w:val="clear" w:color="000000" w:fill="CCFF33"/>
            <w:noWrap/>
            <w:vAlign w:val="center"/>
            <w:hideMark/>
          </w:tcPr>
          <w:p w:rsidR="001F46CD" w:rsidRPr="001F46CD" w:rsidRDefault="001F46CD" w:rsidP="001F46CD">
            <w:pPr>
              <w:spacing w:after="0" w:line="240" w:lineRule="auto"/>
              <w:rPr>
                <w:rFonts w:ascii="Cambria" w:eastAsia="Times New Roman" w:hAnsi="Cambria" w:cs="Times New Roman"/>
                <w:sz w:val="20"/>
                <w:szCs w:val="20"/>
              </w:rPr>
            </w:pPr>
            <w:r w:rsidRPr="001F46CD">
              <w:rPr>
                <w:rFonts w:ascii="Cambria" w:eastAsia="Times New Roman" w:hAnsi="Cambria" w:cs="Times New Roman"/>
                <w:sz w:val="20"/>
                <w:szCs w:val="20"/>
              </w:rPr>
              <w:t>Salaries and Wages</w:t>
            </w:r>
          </w:p>
        </w:tc>
        <w:tc>
          <w:tcPr>
            <w:tcW w:w="2363" w:type="dxa"/>
            <w:tcBorders>
              <w:top w:val="nil"/>
              <w:left w:val="nil"/>
              <w:bottom w:val="single" w:sz="4" w:space="0" w:color="auto"/>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28.5%</w:t>
            </w:r>
          </w:p>
        </w:tc>
        <w:tc>
          <w:tcPr>
            <w:tcW w:w="1618" w:type="dxa"/>
            <w:tcBorders>
              <w:top w:val="nil"/>
              <w:left w:val="nil"/>
              <w:bottom w:val="single" w:sz="4" w:space="0" w:color="auto"/>
              <w:right w:val="single" w:sz="8"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11%</w:t>
            </w:r>
          </w:p>
        </w:tc>
      </w:tr>
      <w:tr w:rsidR="001F46CD" w:rsidRPr="001F46CD" w:rsidTr="001F46CD">
        <w:trPr>
          <w:trHeight w:val="315"/>
        </w:trPr>
        <w:tc>
          <w:tcPr>
            <w:tcW w:w="464" w:type="dxa"/>
            <w:tcBorders>
              <w:top w:val="nil"/>
              <w:left w:val="single" w:sz="8" w:space="0" w:color="auto"/>
              <w:bottom w:val="nil"/>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1</w:t>
            </w:r>
          </w:p>
        </w:tc>
        <w:tc>
          <w:tcPr>
            <w:tcW w:w="453" w:type="dxa"/>
            <w:tcBorders>
              <w:top w:val="nil"/>
              <w:left w:val="single" w:sz="8" w:space="0" w:color="auto"/>
              <w:bottom w:val="single" w:sz="8" w:space="0" w:color="auto"/>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sz w:val="20"/>
                <w:szCs w:val="20"/>
              </w:rPr>
            </w:pPr>
            <w:r w:rsidRPr="001F46CD">
              <w:rPr>
                <w:rFonts w:ascii="Cambria" w:eastAsia="Times New Roman" w:hAnsi="Cambria" w:cs="Times New Roman"/>
                <w:sz w:val="20"/>
                <w:szCs w:val="20"/>
              </w:rPr>
              <w:t>02</w:t>
            </w:r>
          </w:p>
        </w:tc>
        <w:tc>
          <w:tcPr>
            <w:tcW w:w="3349" w:type="dxa"/>
            <w:gridSpan w:val="3"/>
            <w:tcBorders>
              <w:top w:val="single" w:sz="4" w:space="0" w:color="auto"/>
              <w:left w:val="nil"/>
              <w:bottom w:val="single" w:sz="8" w:space="0" w:color="auto"/>
              <w:right w:val="single" w:sz="4" w:space="0" w:color="000000"/>
            </w:tcBorders>
            <w:shd w:val="clear" w:color="000000" w:fill="CCFF33"/>
            <w:noWrap/>
            <w:vAlign w:val="center"/>
            <w:hideMark/>
          </w:tcPr>
          <w:p w:rsidR="001F46CD" w:rsidRPr="001F46CD" w:rsidRDefault="001F46CD" w:rsidP="001F46CD">
            <w:pPr>
              <w:spacing w:after="0" w:line="240" w:lineRule="auto"/>
              <w:rPr>
                <w:rFonts w:ascii="Cambria" w:eastAsia="Times New Roman" w:hAnsi="Cambria" w:cs="Times New Roman"/>
                <w:sz w:val="20"/>
                <w:szCs w:val="20"/>
              </w:rPr>
            </w:pPr>
            <w:r w:rsidRPr="001F46CD">
              <w:rPr>
                <w:rFonts w:ascii="Cambria" w:eastAsia="Times New Roman" w:hAnsi="Cambria" w:cs="Times New Roman"/>
                <w:sz w:val="20"/>
                <w:szCs w:val="20"/>
              </w:rPr>
              <w:t>Social Contributions</w:t>
            </w:r>
          </w:p>
        </w:tc>
        <w:tc>
          <w:tcPr>
            <w:tcW w:w="2363" w:type="dxa"/>
            <w:tcBorders>
              <w:top w:val="nil"/>
              <w:left w:val="nil"/>
              <w:bottom w:val="nil"/>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1.6%</w:t>
            </w:r>
          </w:p>
        </w:tc>
        <w:tc>
          <w:tcPr>
            <w:tcW w:w="1618" w:type="dxa"/>
            <w:tcBorders>
              <w:top w:val="nil"/>
              <w:left w:val="nil"/>
              <w:bottom w:val="nil"/>
              <w:right w:val="single" w:sz="8"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13%</w:t>
            </w:r>
          </w:p>
        </w:tc>
      </w:tr>
      <w:tr w:rsidR="001F46CD" w:rsidRPr="001F46CD" w:rsidTr="001F46CD">
        <w:trPr>
          <w:trHeight w:val="315"/>
        </w:trPr>
        <w:tc>
          <w:tcPr>
            <w:tcW w:w="464" w:type="dxa"/>
            <w:tcBorders>
              <w:top w:val="single" w:sz="8" w:space="0" w:color="auto"/>
              <w:left w:val="single" w:sz="8" w:space="0" w:color="auto"/>
              <w:bottom w:val="nil"/>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2</w:t>
            </w:r>
          </w:p>
        </w:tc>
        <w:tc>
          <w:tcPr>
            <w:tcW w:w="3802" w:type="dxa"/>
            <w:gridSpan w:val="4"/>
            <w:tcBorders>
              <w:top w:val="single" w:sz="8" w:space="0" w:color="auto"/>
              <w:left w:val="nil"/>
              <w:bottom w:val="single" w:sz="8" w:space="0" w:color="auto"/>
              <w:right w:val="single" w:sz="4" w:space="0" w:color="000000"/>
            </w:tcBorders>
            <w:shd w:val="clear" w:color="000000" w:fill="C2D69A"/>
            <w:vAlign w:val="center"/>
            <w:hideMark/>
          </w:tcPr>
          <w:p w:rsidR="001F46CD" w:rsidRPr="001F46CD" w:rsidRDefault="001F46CD" w:rsidP="001F46CD">
            <w:pPr>
              <w:spacing w:after="0" w:line="240" w:lineRule="auto"/>
              <w:rPr>
                <w:rFonts w:ascii="Cambria" w:eastAsia="Times New Roman" w:hAnsi="Cambria" w:cs="Times New Roman"/>
                <w:b/>
                <w:bCs/>
                <w:sz w:val="20"/>
                <w:szCs w:val="20"/>
              </w:rPr>
            </w:pPr>
            <w:r w:rsidRPr="001F46CD">
              <w:rPr>
                <w:rFonts w:ascii="Cambria" w:eastAsia="Times New Roman" w:hAnsi="Cambria" w:cs="Times New Roman"/>
                <w:b/>
                <w:bCs/>
                <w:sz w:val="20"/>
                <w:szCs w:val="20"/>
              </w:rPr>
              <w:t>Use of goods and services</w:t>
            </w:r>
          </w:p>
        </w:tc>
        <w:tc>
          <w:tcPr>
            <w:tcW w:w="2363" w:type="dxa"/>
            <w:tcBorders>
              <w:top w:val="single" w:sz="8" w:space="0" w:color="auto"/>
              <w:left w:val="nil"/>
              <w:bottom w:val="single" w:sz="8" w:space="0" w:color="auto"/>
              <w:right w:val="single" w:sz="4"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19.0%</w:t>
            </w:r>
          </w:p>
        </w:tc>
        <w:tc>
          <w:tcPr>
            <w:tcW w:w="1618" w:type="dxa"/>
            <w:tcBorders>
              <w:top w:val="single" w:sz="8" w:space="0" w:color="auto"/>
              <w:left w:val="nil"/>
              <w:bottom w:val="single" w:sz="8" w:space="0" w:color="auto"/>
              <w:right w:val="single" w:sz="8"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17%</w:t>
            </w:r>
          </w:p>
        </w:tc>
      </w:tr>
      <w:tr w:rsidR="001F46CD" w:rsidRPr="001F46CD" w:rsidTr="001F46CD">
        <w:trPr>
          <w:trHeight w:val="300"/>
        </w:trPr>
        <w:tc>
          <w:tcPr>
            <w:tcW w:w="464" w:type="dxa"/>
            <w:tcBorders>
              <w:top w:val="nil"/>
              <w:left w:val="single" w:sz="8" w:space="0" w:color="auto"/>
              <w:bottom w:val="nil"/>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 </w:t>
            </w:r>
          </w:p>
        </w:tc>
        <w:tc>
          <w:tcPr>
            <w:tcW w:w="453" w:type="dxa"/>
            <w:tcBorders>
              <w:top w:val="nil"/>
              <w:left w:val="single" w:sz="8" w:space="0" w:color="auto"/>
              <w:bottom w:val="single" w:sz="4" w:space="0" w:color="auto"/>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sz w:val="20"/>
                <w:szCs w:val="20"/>
              </w:rPr>
            </w:pPr>
            <w:r w:rsidRPr="001F46CD">
              <w:rPr>
                <w:rFonts w:ascii="Cambria" w:eastAsia="Times New Roman" w:hAnsi="Cambria" w:cs="Times New Roman"/>
                <w:sz w:val="20"/>
                <w:szCs w:val="20"/>
              </w:rPr>
              <w:t>01</w:t>
            </w:r>
          </w:p>
        </w:tc>
        <w:tc>
          <w:tcPr>
            <w:tcW w:w="3349" w:type="dxa"/>
            <w:gridSpan w:val="3"/>
            <w:tcBorders>
              <w:top w:val="single" w:sz="8" w:space="0" w:color="auto"/>
              <w:left w:val="nil"/>
              <w:bottom w:val="single" w:sz="4" w:space="0" w:color="auto"/>
              <w:right w:val="single" w:sz="4" w:space="0" w:color="000000"/>
            </w:tcBorders>
            <w:shd w:val="clear" w:color="000000" w:fill="CCFF33"/>
            <w:noWrap/>
            <w:vAlign w:val="center"/>
            <w:hideMark/>
          </w:tcPr>
          <w:p w:rsidR="001F46CD" w:rsidRPr="001F46CD" w:rsidRDefault="001F46CD" w:rsidP="001F46CD">
            <w:pPr>
              <w:spacing w:after="0" w:line="240" w:lineRule="auto"/>
              <w:rPr>
                <w:rFonts w:ascii="Cambria" w:eastAsia="Times New Roman" w:hAnsi="Cambria" w:cs="Times New Roman"/>
                <w:sz w:val="20"/>
                <w:szCs w:val="20"/>
              </w:rPr>
            </w:pPr>
            <w:r w:rsidRPr="001F46CD">
              <w:rPr>
                <w:rFonts w:ascii="Cambria" w:eastAsia="Times New Roman" w:hAnsi="Cambria" w:cs="Times New Roman"/>
                <w:sz w:val="20"/>
                <w:szCs w:val="20"/>
              </w:rPr>
              <w:t>Goods and Services</w:t>
            </w:r>
          </w:p>
        </w:tc>
        <w:tc>
          <w:tcPr>
            <w:tcW w:w="2363" w:type="dxa"/>
            <w:tcBorders>
              <w:top w:val="nil"/>
              <w:left w:val="nil"/>
              <w:bottom w:val="single" w:sz="4" w:space="0" w:color="auto"/>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8.8%</w:t>
            </w:r>
          </w:p>
        </w:tc>
        <w:tc>
          <w:tcPr>
            <w:tcW w:w="1618" w:type="dxa"/>
            <w:tcBorders>
              <w:top w:val="nil"/>
              <w:left w:val="nil"/>
              <w:bottom w:val="single" w:sz="4" w:space="0" w:color="auto"/>
              <w:right w:val="single" w:sz="8"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6%</w:t>
            </w:r>
          </w:p>
        </w:tc>
      </w:tr>
      <w:tr w:rsidR="001F46CD" w:rsidRPr="001F46CD" w:rsidTr="001F46CD">
        <w:trPr>
          <w:trHeight w:val="315"/>
        </w:trPr>
        <w:tc>
          <w:tcPr>
            <w:tcW w:w="464" w:type="dxa"/>
            <w:tcBorders>
              <w:top w:val="nil"/>
              <w:left w:val="single" w:sz="8" w:space="0" w:color="auto"/>
              <w:bottom w:val="nil"/>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 </w:t>
            </w:r>
          </w:p>
        </w:tc>
        <w:tc>
          <w:tcPr>
            <w:tcW w:w="453" w:type="dxa"/>
            <w:tcBorders>
              <w:top w:val="nil"/>
              <w:left w:val="single" w:sz="8" w:space="0" w:color="auto"/>
              <w:bottom w:val="nil"/>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sz w:val="20"/>
                <w:szCs w:val="20"/>
              </w:rPr>
            </w:pPr>
            <w:r w:rsidRPr="001F46CD">
              <w:rPr>
                <w:rFonts w:ascii="Cambria" w:eastAsia="Times New Roman" w:hAnsi="Cambria" w:cs="Times New Roman"/>
                <w:sz w:val="20"/>
                <w:szCs w:val="20"/>
              </w:rPr>
              <w:t>03</w:t>
            </w:r>
          </w:p>
        </w:tc>
        <w:tc>
          <w:tcPr>
            <w:tcW w:w="3349" w:type="dxa"/>
            <w:gridSpan w:val="3"/>
            <w:tcBorders>
              <w:top w:val="single" w:sz="4" w:space="0" w:color="auto"/>
              <w:left w:val="nil"/>
              <w:bottom w:val="single" w:sz="8" w:space="0" w:color="auto"/>
              <w:right w:val="single" w:sz="4" w:space="0" w:color="000000"/>
            </w:tcBorders>
            <w:shd w:val="clear" w:color="000000" w:fill="CCFF33"/>
            <w:noWrap/>
            <w:vAlign w:val="center"/>
            <w:hideMark/>
          </w:tcPr>
          <w:p w:rsidR="001F46CD" w:rsidRPr="001F46CD" w:rsidRDefault="001F46CD" w:rsidP="001F46CD">
            <w:pPr>
              <w:spacing w:after="0" w:line="240" w:lineRule="auto"/>
              <w:rPr>
                <w:rFonts w:ascii="Cambria" w:eastAsia="Times New Roman" w:hAnsi="Cambria" w:cs="Times New Roman"/>
                <w:sz w:val="20"/>
                <w:szCs w:val="20"/>
              </w:rPr>
            </w:pPr>
            <w:r w:rsidRPr="001F46CD">
              <w:rPr>
                <w:rFonts w:ascii="Cambria" w:eastAsia="Times New Roman" w:hAnsi="Cambria" w:cs="Times New Roman"/>
                <w:sz w:val="20"/>
                <w:szCs w:val="20"/>
              </w:rPr>
              <w:t>Interest Payments</w:t>
            </w:r>
          </w:p>
        </w:tc>
        <w:tc>
          <w:tcPr>
            <w:tcW w:w="2363" w:type="dxa"/>
            <w:tcBorders>
              <w:top w:val="nil"/>
              <w:left w:val="nil"/>
              <w:bottom w:val="nil"/>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8.8%</w:t>
            </w:r>
          </w:p>
        </w:tc>
        <w:tc>
          <w:tcPr>
            <w:tcW w:w="1618" w:type="dxa"/>
            <w:tcBorders>
              <w:top w:val="nil"/>
              <w:left w:val="nil"/>
              <w:bottom w:val="nil"/>
              <w:right w:val="single" w:sz="8"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33%</w:t>
            </w:r>
          </w:p>
        </w:tc>
      </w:tr>
      <w:tr w:rsidR="001F46CD" w:rsidRPr="001F46CD" w:rsidTr="001F46CD">
        <w:trPr>
          <w:trHeight w:val="315"/>
        </w:trPr>
        <w:tc>
          <w:tcPr>
            <w:tcW w:w="464" w:type="dxa"/>
            <w:tcBorders>
              <w:top w:val="single" w:sz="8" w:space="0" w:color="auto"/>
              <w:left w:val="single" w:sz="8" w:space="0" w:color="auto"/>
              <w:bottom w:val="nil"/>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3</w:t>
            </w:r>
          </w:p>
        </w:tc>
        <w:tc>
          <w:tcPr>
            <w:tcW w:w="3802" w:type="dxa"/>
            <w:gridSpan w:val="4"/>
            <w:tcBorders>
              <w:top w:val="single" w:sz="8" w:space="0" w:color="auto"/>
              <w:left w:val="nil"/>
              <w:bottom w:val="single" w:sz="8" w:space="0" w:color="auto"/>
              <w:right w:val="single" w:sz="4" w:space="0" w:color="000000"/>
            </w:tcBorders>
            <w:shd w:val="clear" w:color="000000" w:fill="C2D69A"/>
            <w:noWrap/>
            <w:vAlign w:val="center"/>
            <w:hideMark/>
          </w:tcPr>
          <w:p w:rsidR="001F46CD" w:rsidRPr="001F46CD" w:rsidRDefault="001F46CD" w:rsidP="001F46CD">
            <w:pPr>
              <w:spacing w:after="0" w:line="240" w:lineRule="auto"/>
              <w:rPr>
                <w:rFonts w:ascii="Cambria" w:eastAsia="Times New Roman" w:hAnsi="Cambria" w:cs="Times New Roman"/>
                <w:b/>
                <w:bCs/>
                <w:sz w:val="20"/>
                <w:szCs w:val="20"/>
              </w:rPr>
            </w:pPr>
            <w:r w:rsidRPr="001F46CD">
              <w:rPr>
                <w:rFonts w:ascii="Cambria" w:eastAsia="Times New Roman" w:hAnsi="Cambria" w:cs="Times New Roman"/>
                <w:b/>
                <w:bCs/>
                <w:sz w:val="20"/>
                <w:szCs w:val="20"/>
              </w:rPr>
              <w:t>Subsidies, Grants And Social Benefits</w:t>
            </w:r>
          </w:p>
        </w:tc>
        <w:tc>
          <w:tcPr>
            <w:tcW w:w="2363" w:type="dxa"/>
            <w:tcBorders>
              <w:top w:val="single" w:sz="8" w:space="0" w:color="auto"/>
              <w:left w:val="nil"/>
              <w:bottom w:val="single" w:sz="8" w:space="0" w:color="auto"/>
              <w:right w:val="single" w:sz="4"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32.7%</w:t>
            </w:r>
          </w:p>
        </w:tc>
        <w:tc>
          <w:tcPr>
            <w:tcW w:w="1618" w:type="dxa"/>
            <w:tcBorders>
              <w:top w:val="single" w:sz="8" w:space="0" w:color="auto"/>
              <w:left w:val="nil"/>
              <w:bottom w:val="single" w:sz="8" w:space="0" w:color="auto"/>
              <w:right w:val="single" w:sz="8"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3%</w:t>
            </w:r>
          </w:p>
        </w:tc>
      </w:tr>
      <w:tr w:rsidR="001F46CD" w:rsidRPr="001F46CD" w:rsidTr="001F46CD">
        <w:trPr>
          <w:trHeight w:val="300"/>
        </w:trPr>
        <w:tc>
          <w:tcPr>
            <w:tcW w:w="464" w:type="dxa"/>
            <w:tcBorders>
              <w:top w:val="nil"/>
              <w:left w:val="single" w:sz="8" w:space="0" w:color="auto"/>
              <w:bottom w:val="nil"/>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 </w:t>
            </w:r>
          </w:p>
        </w:tc>
        <w:tc>
          <w:tcPr>
            <w:tcW w:w="453" w:type="dxa"/>
            <w:tcBorders>
              <w:top w:val="nil"/>
              <w:left w:val="single" w:sz="8" w:space="0" w:color="auto"/>
              <w:bottom w:val="nil"/>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01</w:t>
            </w:r>
          </w:p>
        </w:tc>
        <w:tc>
          <w:tcPr>
            <w:tcW w:w="3349" w:type="dxa"/>
            <w:gridSpan w:val="3"/>
            <w:tcBorders>
              <w:top w:val="single" w:sz="8" w:space="0" w:color="auto"/>
              <w:left w:val="nil"/>
              <w:bottom w:val="single" w:sz="4" w:space="0" w:color="auto"/>
              <w:right w:val="single" w:sz="4" w:space="0" w:color="000000"/>
            </w:tcBorders>
            <w:shd w:val="clear" w:color="000000" w:fill="CCFF33"/>
            <w:noWrap/>
            <w:vAlign w:val="center"/>
            <w:hideMark/>
          </w:tcPr>
          <w:p w:rsidR="001F46CD" w:rsidRPr="001F46CD" w:rsidRDefault="001F46CD" w:rsidP="001F46CD">
            <w:pPr>
              <w:spacing w:after="0" w:line="240" w:lineRule="auto"/>
              <w:rPr>
                <w:rFonts w:ascii="Cambria" w:eastAsia="Times New Roman" w:hAnsi="Cambria" w:cs="Times New Roman"/>
                <w:b/>
                <w:bCs/>
                <w:sz w:val="20"/>
                <w:szCs w:val="20"/>
              </w:rPr>
            </w:pPr>
            <w:r w:rsidRPr="001F46CD">
              <w:rPr>
                <w:rFonts w:ascii="Cambria" w:eastAsia="Times New Roman" w:hAnsi="Cambria" w:cs="Times New Roman"/>
                <w:b/>
                <w:bCs/>
                <w:sz w:val="20"/>
                <w:szCs w:val="20"/>
              </w:rPr>
              <w:t>Cash Subsidies</w:t>
            </w:r>
          </w:p>
        </w:tc>
        <w:tc>
          <w:tcPr>
            <w:tcW w:w="2363" w:type="dxa"/>
            <w:tcBorders>
              <w:top w:val="nil"/>
              <w:left w:val="nil"/>
              <w:bottom w:val="single" w:sz="4" w:space="0" w:color="auto"/>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25.7%</w:t>
            </w:r>
          </w:p>
        </w:tc>
        <w:tc>
          <w:tcPr>
            <w:tcW w:w="1618" w:type="dxa"/>
            <w:tcBorders>
              <w:top w:val="nil"/>
              <w:left w:val="nil"/>
              <w:bottom w:val="single" w:sz="4" w:space="0" w:color="auto"/>
              <w:right w:val="single" w:sz="8"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0%</w:t>
            </w:r>
          </w:p>
        </w:tc>
      </w:tr>
      <w:tr w:rsidR="001F46CD" w:rsidRPr="001F46CD" w:rsidTr="001F46CD">
        <w:trPr>
          <w:trHeight w:val="315"/>
        </w:trPr>
        <w:tc>
          <w:tcPr>
            <w:tcW w:w="464" w:type="dxa"/>
            <w:tcBorders>
              <w:top w:val="nil"/>
              <w:left w:val="single" w:sz="8" w:space="0" w:color="auto"/>
              <w:bottom w:val="nil"/>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3</w:t>
            </w:r>
          </w:p>
        </w:tc>
        <w:tc>
          <w:tcPr>
            <w:tcW w:w="453" w:type="dxa"/>
            <w:tcBorders>
              <w:top w:val="single" w:sz="4" w:space="0" w:color="auto"/>
              <w:left w:val="single" w:sz="8" w:space="0" w:color="auto"/>
              <w:bottom w:val="single" w:sz="8" w:space="0" w:color="auto"/>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03</w:t>
            </w:r>
          </w:p>
        </w:tc>
        <w:tc>
          <w:tcPr>
            <w:tcW w:w="3349" w:type="dxa"/>
            <w:gridSpan w:val="3"/>
            <w:tcBorders>
              <w:top w:val="single" w:sz="4" w:space="0" w:color="auto"/>
              <w:left w:val="nil"/>
              <w:bottom w:val="single" w:sz="8" w:space="0" w:color="auto"/>
              <w:right w:val="single" w:sz="4" w:space="0" w:color="000000"/>
            </w:tcBorders>
            <w:shd w:val="clear" w:color="000000" w:fill="CCFF33"/>
            <w:noWrap/>
            <w:vAlign w:val="center"/>
            <w:hideMark/>
          </w:tcPr>
          <w:p w:rsidR="001F46CD" w:rsidRPr="001F46CD" w:rsidRDefault="001F46CD" w:rsidP="001F46CD">
            <w:pPr>
              <w:spacing w:after="0" w:line="240" w:lineRule="auto"/>
              <w:rPr>
                <w:rFonts w:ascii="Cambria" w:eastAsia="Times New Roman" w:hAnsi="Cambria" w:cs="Times New Roman"/>
                <w:b/>
                <w:bCs/>
                <w:sz w:val="20"/>
                <w:szCs w:val="20"/>
              </w:rPr>
            </w:pPr>
            <w:r w:rsidRPr="001F46CD">
              <w:rPr>
                <w:rFonts w:ascii="Cambria" w:eastAsia="Times New Roman" w:hAnsi="Cambria" w:cs="Times New Roman"/>
                <w:b/>
                <w:bCs/>
                <w:sz w:val="20"/>
                <w:szCs w:val="20"/>
              </w:rPr>
              <w:t>Social Benefits</w:t>
            </w:r>
          </w:p>
        </w:tc>
        <w:tc>
          <w:tcPr>
            <w:tcW w:w="2363" w:type="dxa"/>
            <w:tcBorders>
              <w:top w:val="nil"/>
              <w:left w:val="nil"/>
              <w:bottom w:val="nil"/>
              <w:right w:val="single" w:sz="4"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17.5%</w:t>
            </w:r>
          </w:p>
        </w:tc>
        <w:tc>
          <w:tcPr>
            <w:tcW w:w="1618" w:type="dxa"/>
            <w:tcBorders>
              <w:top w:val="nil"/>
              <w:left w:val="nil"/>
              <w:bottom w:val="nil"/>
              <w:right w:val="single" w:sz="8" w:space="0" w:color="auto"/>
            </w:tcBorders>
            <w:shd w:val="clear" w:color="000000" w:fill="CCFF33"/>
            <w:noWrap/>
            <w:vAlign w:val="center"/>
            <w:hideMark/>
          </w:tcPr>
          <w:p w:rsidR="001F46CD" w:rsidRPr="001F46CD" w:rsidRDefault="001F46CD" w:rsidP="001F46CD">
            <w:pPr>
              <w:spacing w:after="0" w:line="240" w:lineRule="auto"/>
              <w:jc w:val="center"/>
              <w:rPr>
                <w:rFonts w:ascii="Cambria" w:eastAsia="Times New Roman" w:hAnsi="Cambria" w:cs="Times New Roman"/>
                <w:color w:val="000000"/>
                <w:sz w:val="20"/>
                <w:szCs w:val="20"/>
              </w:rPr>
            </w:pPr>
            <w:r w:rsidRPr="001F46CD">
              <w:rPr>
                <w:rFonts w:ascii="Cambria" w:eastAsia="Times New Roman" w:hAnsi="Cambria" w:cs="Times New Roman"/>
                <w:color w:val="000000"/>
                <w:sz w:val="20"/>
                <w:szCs w:val="20"/>
              </w:rPr>
              <w:t>16%</w:t>
            </w:r>
          </w:p>
        </w:tc>
      </w:tr>
      <w:tr w:rsidR="001F46CD" w:rsidRPr="001F46CD" w:rsidTr="001F46CD">
        <w:trPr>
          <w:trHeight w:val="315"/>
        </w:trPr>
        <w:tc>
          <w:tcPr>
            <w:tcW w:w="464" w:type="dxa"/>
            <w:tcBorders>
              <w:top w:val="single" w:sz="8" w:space="0" w:color="auto"/>
              <w:left w:val="single" w:sz="8" w:space="0" w:color="auto"/>
              <w:bottom w:val="single" w:sz="8" w:space="0" w:color="auto"/>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XX</w:t>
            </w:r>
          </w:p>
        </w:tc>
        <w:tc>
          <w:tcPr>
            <w:tcW w:w="3802" w:type="dxa"/>
            <w:gridSpan w:val="4"/>
            <w:tcBorders>
              <w:top w:val="single" w:sz="8" w:space="0" w:color="auto"/>
              <w:left w:val="nil"/>
              <w:bottom w:val="single" w:sz="8" w:space="0" w:color="auto"/>
              <w:right w:val="single" w:sz="8" w:space="0" w:color="000000"/>
            </w:tcBorders>
            <w:shd w:val="clear" w:color="000000" w:fill="C2D69A"/>
            <w:noWrap/>
            <w:vAlign w:val="center"/>
            <w:hideMark/>
          </w:tcPr>
          <w:p w:rsidR="001F46CD" w:rsidRPr="001F46CD" w:rsidRDefault="001F46CD" w:rsidP="001F46CD">
            <w:pPr>
              <w:spacing w:after="0" w:line="240" w:lineRule="auto"/>
              <w:rPr>
                <w:rFonts w:ascii="Cambria" w:eastAsia="Times New Roman" w:hAnsi="Cambria" w:cs="Times New Roman"/>
                <w:b/>
                <w:bCs/>
                <w:sz w:val="20"/>
                <w:szCs w:val="20"/>
              </w:rPr>
            </w:pPr>
            <w:r w:rsidRPr="001F46CD">
              <w:rPr>
                <w:rFonts w:ascii="Cambria" w:eastAsia="Times New Roman" w:hAnsi="Cambria" w:cs="Times New Roman"/>
                <w:b/>
                <w:bCs/>
                <w:sz w:val="20"/>
                <w:szCs w:val="20"/>
              </w:rPr>
              <w:t>Unclassified  Expenditures</w:t>
            </w:r>
          </w:p>
        </w:tc>
        <w:tc>
          <w:tcPr>
            <w:tcW w:w="2363" w:type="dxa"/>
            <w:tcBorders>
              <w:top w:val="single" w:sz="8" w:space="0" w:color="auto"/>
              <w:left w:val="nil"/>
              <w:bottom w:val="single" w:sz="8" w:space="0" w:color="auto"/>
              <w:right w:val="single" w:sz="4"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1.6%</w:t>
            </w:r>
          </w:p>
        </w:tc>
        <w:tc>
          <w:tcPr>
            <w:tcW w:w="1618" w:type="dxa"/>
            <w:tcBorders>
              <w:top w:val="single" w:sz="8" w:space="0" w:color="auto"/>
              <w:left w:val="nil"/>
              <w:bottom w:val="single" w:sz="8" w:space="0" w:color="auto"/>
              <w:right w:val="single" w:sz="8"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13%</w:t>
            </w:r>
          </w:p>
        </w:tc>
      </w:tr>
      <w:tr w:rsidR="001F46CD" w:rsidRPr="001F46CD" w:rsidTr="001F46CD">
        <w:trPr>
          <w:trHeight w:val="315"/>
        </w:trPr>
        <w:tc>
          <w:tcPr>
            <w:tcW w:w="464" w:type="dxa"/>
            <w:tcBorders>
              <w:top w:val="nil"/>
              <w:left w:val="single" w:sz="8" w:space="0" w:color="auto"/>
              <w:bottom w:val="single" w:sz="8" w:space="0" w:color="auto"/>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4</w:t>
            </w:r>
          </w:p>
        </w:tc>
        <w:tc>
          <w:tcPr>
            <w:tcW w:w="3802" w:type="dxa"/>
            <w:gridSpan w:val="4"/>
            <w:tcBorders>
              <w:top w:val="single" w:sz="8" w:space="0" w:color="auto"/>
              <w:left w:val="nil"/>
              <w:bottom w:val="single" w:sz="8" w:space="0" w:color="auto"/>
              <w:right w:val="single" w:sz="4" w:space="0" w:color="000000"/>
            </w:tcBorders>
            <w:shd w:val="clear" w:color="000000" w:fill="C2D69A"/>
            <w:noWrap/>
            <w:vAlign w:val="center"/>
            <w:hideMark/>
          </w:tcPr>
          <w:p w:rsidR="001F46CD" w:rsidRPr="001F46CD" w:rsidRDefault="001F46CD" w:rsidP="001F46CD">
            <w:pPr>
              <w:spacing w:after="0" w:line="240" w:lineRule="auto"/>
              <w:rPr>
                <w:rFonts w:ascii="Cambria" w:eastAsia="Times New Roman" w:hAnsi="Cambria" w:cs="Times New Roman"/>
                <w:b/>
                <w:bCs/>
                <w:sz w:val="20"/>
                <w:szCs w:val="20"/>
              </w:rPr>
            </w:pPr>
            <w:r w:rsidRPr="001F46CD">
              <w:rPr>
                <w:rFonts w:ascii="Cambria" w:eastAsia="Times New Roman" w:hAnsi="Cambria" w:cs="Times New Roman"/>
                <w:b/>
                <w:bCs/>
                <w:sz w:val="20"/>
                <w:szCs w:val="20"/>
              </w:rPr>
              <w:t>Acquisition of Non-Financial Assets</w:t>
            </w:r>
          </w:p>
        </w:tc>
        <w:tc>
          <w:tcPr>
            <w:tcW w:w="2363" w:type="dxa"/>
            <w:tcBorders>
              <w:top w:val="nil"/>
              <w:left w:val="nil"/>
              <w:bottom w:val="single" w:sz="8" w:space="0" w:color="auto"/>
              <w:right w:val="single" w:sz="4"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12.2%</w:t>
            </w:r>
          </w:p>
        </w:tc>
        <w:tc>
          <w:tcPr>
            <w:tcW w:w="1618" w:type="dxa"/>
            <w:tcBorders>
              <w:top w:val="nil"/>
              <w:left w:val="nil"/>
              <w:bottom w:val="single" w:sz="8" w:space="0" w:color="auto"/>
              <w:right w:val="single" w:sz="8"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-10%</w:t>
            </w:r>
          </w:p>
        </w:tc>
      </w:tr>
      <w:tr w:rsidR="001F46CD" w:rsidRPr="001F46CD" w:rsidTr="001F46CD">
        <w:trPr>
          <w:trHeight w:val="315"/>
        </w:trPr>
        <w:tc>
          <w:tcPr>
            <w:tcW w:w="464" w:type="dxa"/>
            <w:tcBorders>
              <w:top w:val="nil"/>
              <w:left w:val="single" w:sz="8" w:space="0" w:color="auto"/>
              <w:bottom w:val="nil"/>
              <w:right w:val="nil"/>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sz w:val="20"/>
                <w:szCs w:val="20"/>
              </w:rPr>
            </w:pPr>
            <w:r w:rsidRPr="001F46CD">
              <w:rPr>
                <w:rFonts w:ascii="Cambria" w:eastAsia="Times New Roman" w:hAnsi="Cambria" w:cs="Times New Roman"/>
                <w:b/>
                <w:bCs/>
                <w:sz w:val="20"/>
                <w:szCs w:val="20"/>
              </w:rPr>
              <w:t>5</w:t>
            </w:r>
          </w:p>
        </w:tc>
        <w:tc>
          <w:tcPr>
            <w:tcW w:w="3802" w:type="dxa"/>
            <w:gridSpan w:val="4"/>
            <w:tcBorders>
              <w:top w:val="single" w:sz="8" w:space="0" w:color="auto"/>
              <w:left w:val="nil"/>
              <w:bottom w:val="single" w:sz="8" w:space="0" w:color="auto"/>
              <w:right w:val="single" w:sz="4" w:space="0" w:color="000000"/>
            </w:tcBorders>
            <w:shd w:val="clear" w:color="000000" w:fill="C2D69A"/>
            <w:vAlign w:val="center"/>
            <w:hideMark/>
          </w:tcPr>
          <w:p w:rsidR="001F46CD" w:rsidRPr="001F46CD" w:rsidRDefault="001F46CD" w:rsidP="001F46CD">
            <w:pPr>
              <w:spacing w:after="0" w:line="240" w:lineRule="auto"/>
              <w:rPr>
                <w:rFonts w:ascii="Cambria" w:eastAsia="Times New Roman" w:hAnsi="Cambria" w:cs="Times New Roman"/>
                <w:b/>
                <w:bCs/>
                <w:sz w:val="20"/>
                <w:szCs w:val="20"/>
              </w:rPr>
            </w:pPr>
            <w:r w:rsidRPr="001F46CD">
              <w:rPr>
                <w:rFonts w:ascii="Cambria" w:eastAsia="Times New Roman" w:hAnsi="Cambria" w:cs="Times New Roman"/>
                <w:b/>
                <w:bCs/>
                <w:sz w:val="20"/>
                <w:szCs w:val="20"/>
              </w:rPr>
              <w:t>Acquisition Of Financial  Assets &amp; Repayment Of Liabilities</w:t>
            </w:r>
          </w:p>
        </w:tc>
        <w:tc>
          <w:tcPr>
            <w:tcW w:w="2363" w:type="dxa"/>
            <w:tcBorders>
              <w:top w:val="nil"/>
              <w:left w:val="nil"/>
              <w:bottom w:val="nil"/>
              <w:right w:val="single" w:sz="4"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4.5%</w:t>
            </w:r>
          </w:p>
        </w:tc>
        <w:tc>
          <w:tcPr>
            <w:tcW w:w="1618" w:type="dxa"/>
            <w:tcBorders>
              <w:top w:val="nil"/>
              <w:left w:val="nil"/>
              <w:bottom w:val="nil"/>
              <w:right w:val="single" w:sz="8" w:space="0" w:color="auto"/>
            </w:tcBorders>
            <w:shd w:val="clear" w:color="000000" w:fill="C2D69A"/>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000000"/>
                <w:sz w:val="20"/>
                <w:szCs w:val="20"/>
              </w:rPr>
            </w:pPr>
            <w:r w:rsidRPr="001F46CD">
              <w:rPr>
                <w:rFonts w:ascii="Cambria" w:eastAsia="Times New Roman" w:hAnsi="Cambria" w:cs="Times New Roman"/>
                <w:b/>
                <w:bCs/>
                <w:color w:val="000000"/>
                <w:sz w:val="20"/>
                <w:szCs w:val="20"/>
              </w:rPr>
              <w:t>8%</w:t>
            </w:r>
          </w:p>
        </w:tc>
      </w:tr>
      <w:tr w:rsidR="001F46CD" w:rsidRPr="001F46CD" w:rsidTr="001F46CD">
        <w:trPr>
          <w:trHeight w:val="315"/>
        </w:trPr>
        <w:tc>
          <w:tcPr>
            <w:tcW w:w="4266" w:type="dxa"/>
            <w:gridSpan w:val="5"/>
            <w:tcBorders>
              <w:top w:val="single" w:sz="8" w:space="0" w:color="auto"/>
              <w:left w:val="single" w:sz="8" w:space="0" w:color="auto"/>
              <w:bottom w:val="single" w:sz="8" w:space="0" w:color="auto"/>
              <w:right w:val="single" w:sz="4" w:space="0" w:color="000000"/>
            </w:tcBorders>
            <w:shd w:val="clear" w:color="000000" w:fill="4F6228"/>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F2F2F2"/>
                <w:sz w:val="20"/>
                <w:szCs w:val="20"/>
              </w:rPr>
            </w:pPr>
            <w:r w:rsidRPr="001F46CD">
              <w:rPr>
                <w:rFonts w:ascii="Cambria" w:eastAsia="Times New Roman" w:hAnsi="Cambria" w:cs="Times New Roman"/>
                <w:b/>
                <w:bCs/>
                <w:color w:val="F2F2F2"/>
                <w:sz w:val="20"/>
                <w:szCs w:val="20"/>
              </w:rPr>
              <w:t>Total Expending</w:t>
            </w:r>
          </w:p>
        </w:tc>
        <w:tc>
          <w:tcPr>
            <w:tcW w:w="2363" w:type="dxa"/>
            <w:tcBorders>
              <w:top w:val="single" w:sz="8" w:space="0" w:color="auto"/>
              <w:left w:val="nil"/>
              <w:bottom w:val="single" w:sz="8" w:space="0" w:color="auto"/>
              <w:right w:val="single" w:sz="4" w:space="0" w:color="auto"/>
            </w:tcBorders>
            <w:shd w:val="clear" w:color="000000" w:fill="4F6228"/>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FFFFFF"/>
                <w:sz w:val="20"/>
                <w:szCs w:val="20"/>
              </w:rPr>
            </w:pPr>
            <w:r w:rsidRPr="001F46CD">
              <w:rPr>
                <w:rFonts w:ascii="Cambria" w:eastAsia="Times New Roman" w:hAnsi="Cambria" w:cs="Times New Roman"/>
                <w:b/>
                <w:bCs/>
                <w:color w:val="FFFFFF"/>
                <w:sz w:val="20"/>
                <w:szCs w:val="20"/>
              </w:rPr>
              <w:t>100%</w:t>
            </w:r>
          </w:p>
        </w:tc>
        <w:tc>
          <w:tcPr>
            <w:tcW w:w="1618" w:type="dxa"/>
            <w:tcBorders>
              <w:top w:val="single" w:sz="8" w:space="0" w:color="auto"/>
              <w:left w:val="nil"/>
              <w:bottom w:val="single" w:sz="8" w:space="0" w:color="auto"/>
              <w:right w:val="single" w:sz="8" w:space="0" w:color="auto"/>
            </w:tcBorders>
            <w:shd w:val="clear" w:color="000000" w:fill="4F6228"/>
            <w:noWrap/>
            <w:vAlign w:val="center"/>
            <w:hideMark/>
          </w:tcPr>
          <w:p w:rsidR="001F46CD" w:rsidRPr="001F46CD" w:rsidRDefault="001F46CD" w:rsidP="001F46CD">
            <w:pPr>
              <w:spacing w:after="0" w:line="240" w:lineRule="auto"/>
              <w:jc w:val="center"/>
              <w:rPr>
                <w:rFonts w:ascii="Cambria" w:eastAsia="Times New Roman" w:hAnsi="Cambria" w:cs="Times New Roman"/>
                <w:b/>
                <w:bCs/>
                <w:color w:val="FFFFFF"/>
                <w:sz w:val="20"/>
                <w:szCs w:val="20"/>
              </w:rPr>
            </w:pPr>
            <w:r w:rsidRPr="001F46CD">
              <w:rPr>
                <w:rFonts w:ascii="Cambria" w:eastAsia="Times New Roman" w:hAnsi="Cambria" w:cs="Times New Roman"/>
                <w:b/>
                <w:bCs/>
                <w:color w:val="FFFFFF"/>
                <w:sz w:val="20"/>
                <w:szCs w:val="20"/>
              </w:rPr>
              <w:t>7%</w:t>
            </w:r>
          </w:p>
        </w:tc>
      </w:tr>
    </w:tbl>
    <w:p w:rsidR="0003120F" w:rsidRDefault="0003120F" w:rsidP="003662AE">
      <w:pPr>
        <w:spacing w:line="480" w:lineRule="auto"/>
        <w:ind w:firstLine="709"/>
        <w:rPr>
          <w:rFonts w:asciiTheme="majorHAnsi" w:hAnsiTheme="majorHAnsi" w:cstheme="majorBidi"/>
          <w:sz w:val="24"/>
          <w:szCs w:val="24"/>
        </w:rPr>
      </w:pPr>
    </w:p>
    <w:p w:rsidR="00A0370D" w:rsidRPr="0072532F" w:rsidRDefault="00A0370D" w:rsidP="003662AE">
      <w:pPr>
        <w:spacing w:line="480" w:lineRule="auto"/>
        <w:ind w:firstLine="709"/>
        <w:rPr>
          <w:rFonts w:asciiTheme="majorHAnsi" w:hAnsiTheme="majorHAnsi" w:cstheme="majorBidi"/>
          <w:sz w:val="24"/>
          <w:szCs w:val="24"/>
        </w:rPr>
      </w:pPr>
      <w:r w:rsidRPr="0072532F">
        <w:rPr>
          <w:rFonts w:asciiTheme="majorHAnsi" w:hAnsiTheme="majorHAnsi" w:cstheme="majorBidi"/>
          <w:sz w:val="24"/>
          <w:szCs w:val="24"/>
        </w:rPr>
        <w:lastRenderedPageBreak/>
        <w:t>In order for the GoY to eradicate its mounting fiscal deficits by 2017</w:t>
      </w:r>
      <w:r>
        <w:rPr>
          <w:rFonts w:asciiTheme="majorHAnsi" w:hAnsiTheme="majorHAnsi" w:cstheme="majorBidi"/>
          <w:sz w:val="24"/>
          <w:szCs w:val="24"/>
        </w:rPr>
        <w:t xml:space="preserve"> for instance</w:t>
      </w:r>
      <w:r w:rsidRPr="0072532F">
        <w:rPr>
          <w:rFonts w:asciiTheme="majorHAnsi" w:hAnsiTheme="majorHAnsi" w:cstheme="majorBidi"/>
          <w:sz w:val="24"/>
          <w:szCs w:val="24"/>
        </w:rPr>
        <w:t>, total revenues have either to grow by 11% annually or total expenditures have to grow at a reduced rate of 4% annually.</w:t>
      </w:r>
    </w:p>
    <w:p w:rsidR="001C79BA" w:rsidRPr="0072532F" w:rsidRDefault="001C79BA" w:rsidP="003662AE">
      <w:pPr>
        <w:spacing w:line="480" w:lineRule="auto"/>
        <w:rPr>
          <w:rFonts w:asciiTheme="majorHAnsi" w:hAnsiTheme="majorHAnsi" w:cstheme="majorBidi"/>
          <w:b/>
          <w:bCs/>
          <w:sz w:val="24"/>
          <w:szCs w:val="24"/>
        </w:rPr>
      </w:pPr>
      <w:r w:rsidRPr="0072532F">
        <w:rPr>
          <w:rFonts w:asciiTheme="majorHAnsi" w:hAnsiTheme="majorHAnsi" w:cstheme="majorBidi"/>
          <w:b/>
          <w:bCs/>
          <w:sz w:val="24"/>
          <w:szCs w:val="24"/>
        </w:rPr>
        <w:t>Expenditure</w:t>
      </w:r>
      <w:r w:rsidR="00410ECD" w:rsidRPr="0072532F">
        <w:rPr>
          <w:rFonts w:asciiTheme="majorHAnsi" w:hAnsiTheme="majorHAnsi" w:cstheme="majorBidi"/>
          <w:b/>
          <w:bCs/>
          <w:sz w:val="24"/>
          <w:szCs w:val="24"/>
        </w:rPr>
        <w:t>s</w:t>
      </w:r>
    </w:p>
    <w:p w:rsidR="003662AE" w:rsidRDefault="002F0DB5" w:rsidP="00D54B74">
      <w:pPr>
        <w:spacing w:line="480" w:lineRule="auto"/>
        <w:ind w:firstLine="709"/>
        <w:rPr>
          <w:rFonts w:asciiTheme="majorHAnsi" w:hAnsiTheme="majorHAnsi" w:cstheme="majorBidi"/>
          <w:sz w:val="24"/>
          <w:szCs w:val="24"/>
        </w:rPr>
      </w:pPr>
      <w:r w:rsidRPr="0072532F">
        <w:rPr>
          <w:rFonts w:asciiTheme="majorHAnsi" w:hAnsiTheme="majorHAnsi" w:cstheme="majorBidi"/>
          <w:sz w:val="24"/>
          <w:szCs w:val="24"/>
        </w:rPr>
        <w:t xml:space="preserve">There have been three main </w:t>
      </w:r>
      <w:r w:rsidR="003662AE" w:rsidRPr="0072532F">
        <w:rPr>
          <w:rFonts w:asciiTheme="majorHAnsi" w:hAnsiTheme="majorHAnsi" w:cstheme="majorBidi"/>
          <w:sz w:val="24"/>
          <w:szCs w:val="24"/>
        </w:rPr>
        <w:t xml:space="preserve">chapters </w:t>
      </w:r>
      <w:r w:rsidR="00BB412C" w:rsidRPr="0072532F">
        <w:rPr>
          <w:rFonts w:asciiTheme="majorHAnsi" w:hAnsiTheme="majorHAnsi" w:cstheme="majorBidi"/>
          <w:sz w:val="24"/>
          <w:szCs w:val="24"/>
        </w:rPr>
        <w:t>that compose on a historical</w:t>
      </w:r>
      <w:r w:rsidRPr="0072532F">
        <w:rPr>
          <w:rFonts w:asciiTheme="majorHAnsi" w:hAnsiTheme="majorHAnsi" w:cstheme="majorBidi"/>
          <w:sz w:val="24"/>
          <w:szCs w:val="24"/>
        </w:rPr>
        <w:t xml:space="preserve"> average 82% of total expending</w:t>
      </w:r>
      <w:r w:rsidR="00BB412C" w:rsidRPr="0072532F">
        <w:rPr>
          <w:rFonts w:asciiTheme="majorHAnsi" w:hAnsiTheme="majorHAnsi" w:cstheme="majorBidi"/>
          <w:sz w:val="24"/>
          <w:szCs w:val="24"/>
        </w:rPr>
        <w:t xml:space="preserve"> and</w:t>
      </w:r>
      <w:r w:rsidR="00286D85">
        <w:rPr>
          <w:rFonts w:asciiTheme="majorHAnsi" w:hAnsiTheme="majorHAnsi" w:cstheme="majorBidi"/>
          <w:sz w:val="24"/>
          <w:szCs w:val="24"/>
        </w:rPr>
        <w:t xml:space="preserve"> which are</w:t>
      </w:r>
      <w:r w:rsidR="00BB412C" w:rsidRPr="0072532F">
        <w:rPr>
          <w:rFonts w:asciiTheme="majorHAnsi" w:hAnsiTheme="majorHAnsi" w:cstheme="majorBidi"/>
          <w:sz w:val="24"/>
          <w:szCs w:val="24"/>
        </w:rPr>
        <w:t xml:space="preserve"> growing at a worrying rate</w:t>
      </w:r>
      <w:r w:rsidRPr="0072532F">
        <w:rPr>
          <w:rFonts w:asciiTheme="majorHAnsi" w:hAnsiTheme="majorHAnsi" w:cstheme="majorBidi"/>
          <w:sz w:val="24"/>
          <w:szCs w:val="24"/>
        </w:rPr>
        <w:t xml:space="preserve">. </w:t>
      </w:r>
      <w:r w:rsidR="00BB412C" w:rsidRPr="0072532F">
        <w:rPr>
          <w:rFonts w:asciiTheme="majorHAnsi" w:hAnsiTheme="majorHAnsi" w:cstheme="majorBidi"/>
          <w:sz w:val="24"/>
          <w:szCs w:val="24"/>
        </w:rPr>
        <w:t xml:space="preserve">Table </w:t>
      </w:r>
      <w:r w:rsidR="0040736C">
        <w:rPr>
          <w:rFonts w:asciiTheme="majorHAnsi" w:hAnsiTheme="majorHAnsi" w:cstheme="majorBidi"/>
          <w:sz w:val="24"/>
          <w:szCs w:val="24"/>
        </w:rPr>
        <w:t>4</w:t>
      </w:r>
      <w:r w:rsidR="0040736C" w:rsidRPr="0072532F">
        <w:rPr>
          <w:rFonts w:asciiTheme="majorHAnsi" w:hAnsiTheme="majorHAnsi" w:cstheme="majorBidi"/>
          <w:sz w:val="24"/>
          <w:szCs w:val="24"/>
        </w:rPr>
        <w:t xml:space="preserve"> </w:t>
      </w:r>
      <w:r w:rsidR="00BB412C" w:rsidRPr="0072532F">
        <w:rPr>
          <w:rFonts w:asciiTheme="majorHAnsi" w:hAnsiTheme="majorHAnsi" w:cstheme="majorBidi"/>
          <w:sz w:val="24"/>
          <w:szCs w:val="24"/>
        </w:rPr>
        <w:t xml:space="preserve">summarizes the percentages and the annual growth rates of these items. </w:t>
      </w:r>
    </w:p>
    <w:tbl>
      <w:tblPr>
        <w:tblW w:w="5656" w:type="dxa"/>
        <w:tblInd w:w="108" w:type="dxa"/>
        <w:tblLook w:val="04A0"/>
      </w:tblPr>
      <w:tblGrid>
        <w:gridCol w:w="3148"/>
        <w:gridCol w:w="1378"/>
        <w:gridCol w:w="1130"/>
      </w:tblGrid>
      <w:tr w:rsidR="00882603" w:rsidRPr="0072532F" w:rsidTr="009A1F3D">
        <w:trPr>
          <w:trHeight w:val="315"/>
        </w:trPr>
        <w:tc>
          <w:tcPr>
            <w:tcW w:w="5656" w:type="dxa"/>
            <w:gridSpan w:val="3"/>
            <w:tcBorders>
              <w:top w:val="nil"/>
              <w:left w:val="nil"/>
              <w:bottom w:val="nil"/>
              <w:right w:val="nil"/>
            </w:tcBorders>
            <w:shd w:val="clear" w:color="auto" w:fill="auto"/>
            <w:noWrap/>
            <w:vAlign w:val="bottom"/>
            <w:hideMark/>
          </w:tcPr>
          <w:p w:rsidR="00882603" w:rsidRPr="0072532F" w:rsidRDefault="00882603" w:rsidP="0040736C">
            <w:pPr>
              <w:spacing w:after="0" w:line="240" w:lineRule="auto"/>
              <w:rPr>
                <w:rFonts w:asciiTheme="majorHAnsi" w:eastAsia="Times New Roman" w:hAnsiTheme="majorHAnsi" w:cs="Times New Roman"/>
                <w:color w:val="000000"/>
              </w:rPr>
            </w:pPr>
            <w:r w:rsidRPr="0072532F">
              <w:rPr>
                <w:rFonts w:asciiTheme="majorHAnsi" w:eastAsia="Times New Roman" w:hAnsiTheme="majorHAnsi" w:cs="Times New Roman"/>
                <w:color w:val="000000"/>
              </w:rPr>
              <w:t xml:space="preserve">Table </w:t>
            </w:r>
            <w:r w:rsidR="0040736C">
              <w:rPr>
                <w:rFonts w:asciiTheme="majorHAnsi" w:eastAsia="Times New Roman" w:hAnsiTheme="majorHAnsi" w:cs="Times New Roman"/>
                <w:color w:val="000000"/>
              </w:rPr>
              <w:t>4</w:t>
            </w:r>
            <w:r w:rsidRPr="0072532F">
              <w:rPr>
                <w:rFonts w:asciiTheme="majorHAnsi" w:eastAsia="Times New Roman" w:hAnsiTheme="majorHAnsi" w:cs="Times New Roman"/>
                <w:color w:val="000000"/>
              </w:rPr>
              <w:t xml:space="preserve">:  </w:t>
            </w:r>
            <w:r w:rsidRPr="0072532F">
              <w:rPr>
                <w:rFonts w:asciiTheme="majorHAnsi" w:eastAsia="Times New Roman" w:hAnsiTheme="majorHAnsi" w:cs="Times New Roman"/>
                <w:b/>
                <w:bCs/>
                <w:i/>
                <w:iCs/>
                <w:color w:val="000000"/>
              </w:rPr>
              <w:t>Main Expenditure items' Growth and Allocation</w:t>
            </w:r>
          </w:p>
        </w:tc>
      </w:tr>
      <w:tr w:rsidR="00882603" w:rsidRPr="0072532F" w:rsidTr="009A1F3D">
        <w:trPr>
          <w:trHeight w:val="885"/>
        </w:trPr>
        <w:tc>
          <w:tcPr>
            <w:tcW w:w="314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82603" w:rsidRPr="0072532F" w:rsidRDefault="00882603" w:rsidP="009A1F3D">
            <w:pPr>
              <w:spacing w:after="0" w:line="240" w:lineRule="auto"/>
              <w:jc w:val="center"/>
              <w:rPr>
                <w:rFonts w:asciiTheme="majorHAnsi" w:eastAsia="Times New Roman" w:hAnsiTheme="majorHAnsi" w:cs="Times New Roman"/>
                <w:b/>
                <w:bCs/>
                <w:color w:val="000000"/>
                <w:sz w:val="24"/>
                <w:szCs w:val="24"/>
              </w:rPr>
            </w:pPr>
            <w:r w:rsidRPr="0072532F">
              <w:rPr>
                <w:rFonts w:asciiTheme="majorHAnsi" w:eastAsia="Times New Roman" w:hAnsiTheme="majorHAnsi" w:cs="Times New Roman"/>
                <w:b/>
                <w:bCs/>
                <w:color w:val="000000"/>
                <w:sz w:val="24"/>
                <w:szCs w:val="24"/>
              </w:rPr>
              <w:t>Item (Chapter)</w:t>
            </w:r>
          </w:p>
        </w:tc>
        <w:tc>
          <w:tcPr>
            <w:tcW w:w="1378" w:type="dxa"/>
            <w:tcBorders>
              <w:top w:val="single" w:sz="8" w:space="0" w:color="auto"/>
              <w:left w:val="nil"/>
              <w:bottom w:val="single" w:sz="8" w:space="0" w:color="auto"/>
              <w:right w:val="single" w:sz="4" w:space="0" w:color="auto"/>
            </w:tcBorders>
            <w:shd w:val="clear" w:color="auto" w:fill="auto"/>
            <w:vAlign w:val="bottom"/>
            <w:hideMark/>
          </w:tcPr>
          <w:p w:rsidR="00882603" w:rsidRPr="0072532F" w:rsidRDefault="00882603" w:rsidP="009A1F3D">
            <w:pPr>
              <w:spacing w:after="0" w:line="240" w:lineRule="auto"/>
              <w:jc w:val="center"/>
              <w:rPr>
                <w:rFonts w:asciiTheme="majorHAnsi" w:eastAsia="Times New Roman" w:hAnsiTheme="majorHAnsi" w:cs="Times New Roman"/>
                <w:b/>
                <w:bCs/>
                <w:color w:val="000000"/>
              </w:rPr>
            </w:pPr>
            <w:r w:rsidRPr="0072532F">
              <w:rPr>
                <w:rFonts w:asciiTheme="majorHAnsi" w:eastAsia="Times New Roman" w:hAnsiTheme="majorHAnsi" w:cs="Times New Roman"/>
                <w:b/>
                <w:bCs/>
                <w:color w:val="000000"/>
              </w:rPr>
              <w:t>Average % of Total Expending</w:t>
            </w:r>
          </w:p>
        </w:tc>
        <w:tc>
          <w:tcPr>
            <w:tcW w:w="1130" w:type="dxa"/>
            <w:tcBorders>
              <w:top w:val="single" w:sz="8" w:space="0" w:color="auto"/>
              <w:left w:val="nil"/>
              <w:bottom w:val="single" w:sz="8" w:space="0" w:color="auto"/>
              <w:right w:val="single" w:sz="8" w:space="0" w:color="auto"/>
            </w:tcBorders>
            <w:shd w:val="clear" w:color="auto" w:fill="auto"/>
            <w:vAlign w:val="center"/>
            <w:hideMark/>
          </w:tcPr>
          <w:p w:rsidR="00882603" w:rsidRPr="0072532F" w:rsidRDefault="00882603" w:rsidP="009A1F3D">
            <w:pPr>
              <w:spacing w:after="0" w:line="240" w:lineRule="auto"/>
              <w:jc w:val="center"/>
              <w:rPr>
                <w:rFonts w:asciiTheme="majorHAnsi" w:eastAsia="Times New Roman" w:hAnsiTheme="majorHAnsi" w:cs="Times New Roman"/>
                <w:b/>
                <w:bCs/>
                <w:color w:val="000000"/>
              </w:rPr>
            </w:pPr>
            <w:r w:rsidRPr="0072532F">
              <w:rPr>
                <w:rFonts w:asciiTheme="majorHAnsi" w:eastAsia="Times New Roman" w:hAnsiTheme="majorHAnsi" w:cs="Times New Roman"/>
                <w:b/>
                <w:bCs/>
                <w:color w:val="000000"/>
              </w:rPr>
              <w:t>Annual Growth Rate</w:t>
            </w:r>
          </w:p>
        </w:tc>
      </w:tr>
      <w:tr w:rsidR="00882603" w:rsidRPr="0072532F" w:rsidTr="009A1F3D">
        <w:trPr>
          <w:trHeight w:val="390"/>
        </w:trPr>
        <w:tc>
          <w:tcPr>
            <w:tcW w:w="3148" w:type="dxa"/>
            <w:tcBorders>
              <w:top w:val="nil"/>
              <w:left w:val="single" w:sz="8" w:space="0" w:color="auto"/>
              <w:bottom w:val="single" w:sz="4" w:space="0" w:color="auto"/>
              <w:right w:val="single" w:sz="4" w:space="0" w:color="auto"/>
            </w:tcBorders>
            <w:shd w:val="clear" w:color="auto" w:fill="auto"/>
            <w:vAlign w:val="center"/>
            <w:hideMark/>
          </w:tcPr>
          <w:p w:rsidR="00882603" w:rsidRPr="0072532F" w:rsidRDefault="00882603" w:rsidP="009A1F3D">
            <w:pPr>
              <w:spacing w:after="0" w:line="240" w:lineRule="auto"/>
              <w:rPr>
                <w:rFonts w:asciiTheme="majorHAnsi" w:eastAsia="Times New Roman" w:hAnsiTheme="majorHAnsi" w:cs="Times New Roman"/>
                <w:color w:val="000000"/>
              </w:rPr>
            </w:pPr>
            <w:r w:rsidRPr="0072532F">
              <w:rPr>
                <w:rFonts w:asciiTheme="majorHAnsi" w:eastAsia="Times New Roman" w:hAnsiTheme="majorHAnsi" w:cs="Times New Roman"/>
                <w:color w:val="000000"/>
              </w:rPr>
              <w:t>Compensation Of Employees</w:t>
            </w:r>
          </w:p>
        </w:tc>
        <w:tc>
          <w:tcPr>
            <w:tcW w:w="1378" w:type="dxa"/>
            <w:tcBorders>
              <w:top w:val="nil"/>
              <w:left w:val="nil"/>
              <w:bottom w:val="single" w:sz="4" w:space="0" w:color="auto"/>
              <w:right w:val="single" w:sz="4" w:space="0" w:color="auto"/>
            </w:tcBorders>
            <w:shd w:val="clear" w:color="auto" w:fill="auto"/>
            <w:noWrap/>
            <w:vAlign w:val="center"/>
            <w:hideMark/>
          </w:tcPr>
          <w:p w:rsidR="00882603" w:rsidRPr="0072532F" w:rsidRDefault="00882603" w:rsidP="009A1F3D">
            <w:pPr>
              <w:spacing w:after="0" w:line="240" w:lineRule="auto"/>
              <w:jc w:val="center"/>
              <w:rPr>
                <w:rFonts w:asciiTheme="majorHAnsi" w:eastAsia="Times New Roman" w:hAnsiTheme="majorHAnsi" w:cs="Times New Roman"/>
                <w:color w:val="000000"/>
              </w:rPr>
            </w:pPr>
            <w:r w:rsidRPr="0072532F">
              <w:rPr>
                <w:rFonts w:asciiTheme="majorHAnsi" w:eastAsia="Times New Roman" w:hAnsiTheme="majorHAnsi" w:cs="Times New Roman"/>
                <w:color w:val="000000"/>
              </w:rPr>
              <w:t>30%</w:t>
            </w:r>
          </w:p>
        </w:tc>
        <w:tc>
          <w:tcPr>
            <w:tcW w:w="1130" w:type="dxa"/>
            <w:tcBorders>
              <w:top w:val="nil"/>
              <w:left w:val="nil"/>
              <w:bottom w:val="single" w:sz="4" w:space="0" w:color="auto"/>
              <w:right w:val="single" w:sz="8" w:space="0" w:color="auto"/>
            </w:tcBorders>
            <w:shd w:val="clear" w:color="auto" w:fill="auto"/>
            <w:noWrap/>
            <w:vAlign w:val="center"/>
            <w:hideMark/>
          </w:tcPr>
          <w:p w:rsidR="00882603" w:rsidRPr="0072532F" w:rsidRDefault="00882603" w:rsidP="009A1F3D">
            <w:pPr>
              <w:spacing w:after="0" w:line="240" w:lineRule="auto"/>
              <w:jc w:val="center"/>
              <w:rPr>
                <w:rFonts w:asciiTheme="majorHAnsi" w:eastAsia="Times New Roman" w:hAnsiTheme="majorHAnsi" w:cs="Times New Roman"/>
                <w:color w:val="000000"/>
              </w:rPr>
            </w:pPr>
            <w:r w:rsidRPr="0072532F">
              <w:rPr>
                <w:rFonts w:asciiTheme="majorHAnsi" w:eastAsia="Times New Roman" w:hAnsiTheme="majorHAnsi" w:cs="Times New Roman"/>
                <w:color w:val="000000"/>
              </w:rPr>
              <w:t>11.17%</w:t>
            </w:r>
          </w:p>
        </w:tc>
      </w:tr>
      <w:tr w:rsidR="00882603" w:rsidRPr="0072532F" w:rsidTr="009A1F3D">
        <w:trPr>
          <w:trHeight w:val="300"/>
        </w:trPr>
        <w:tc>
          <w:tcPr>
            <w:tcW w:w="3148" w:type="dxa"/>
            <w:tcBorders>
              <w:top w:val="nil"/>
              <w:left w:val="single" w:sz="8" w:space="0" w:color="auto"/>
              <w:bottom w:val="single" w:sz="4" w:space="0" w:color="auto"/>
              <w:right w:val="single" w:sz="4" w:space="0" w:color="auto"/>
            </w:tcBorders>
            <w:shd w:val="clear" w:color="auto" w:fill="auto"/>
            <w:vAlign w:val="center"/>
            <w:hideMark/>
          </w:tcPr>
          <w:p w:rsidR="00882603" w:rsidRPr="0072532F" w:rsidRDefault="00882603" w:rsidP="009A1F3D">
            <w:pPr>
              <w:spacing w:after="0" w:line="240" w:lineRule="auto"/>
              <w:rPr>
                <w:rFonts w:asciiTheme="majorHAnsi" w:eastAsia="Times New Roman" w:hAnsiTheme="majorHAnsi" w:cs="Times New Roman"/>
                <w:color w:val="000000"/>
              </w:rPr>
            </w:pPr>
            <w:r w:rsidRPr="0072532F">
              <w:rPr>
                <w:rFonts w:asciiTheme="majorHAnsi" w:eastAsia="Times New Roman" w:hAnsiTheme="majorHAnsi" w:cs="Times New Roman"/>
                <w:color w:val="000000"/>
              </w:rPr>
              <w:t>Use of goods and services</w:t>
            </w:r>
          </w:p>
        </w:tc>
        <w:tc>
          <w:tcPr>
            <w:tcW w:w="1378" w:type="dxa"/>
            <w:tcBorders>
              <w:top w:val="nil"/>
              <w:left w:val="nil"/>
              <w:bottom w:val="single" w:sz="4" w:space="0" w:color="auto"/>
              <w:right w:val="single" w:sz="4" w:space="0" w:color="auto"/>
            </w:tcBorders>
            <w:shd w:val="clear" w:color="auto" w:fill="auto"/>
            <w:noWrap/>
            <w:vAlign w:val="center"/>
            <w:hideMark/>
          </w:tcPr>
          <w:p w:rsidR="00882603" w:rsidRPr="0072532F" w:rsidRDefault="00882603" w:rsidP="009A1F3D">
            <w:pPr>
              <w:spacing w:after="0" w:line="240" w:lineRule="auto"/>
              <w:jc w:val="center"/>
              <w:rPr>
                <w:rFonts w:asciiTheme="majorHAnsi" w:eastAsia="Times New Roman" w:hAnsiTheme="majorHAnsi" w:cs="Times New Roman"/>
                <w:color w:val="000000"/>
              </w:rPr>
            </w:pPr>
            <w:r w:rsidRPr="0072532F">
              <w:rPr>
                <w:rFonts w:asciiTheme="majorHAnsi" w:eastAsia="Times New Roman" w:hAnsiTheme="majorHAnsi" w:cs="Times New Roman"/>
                <w:color w:val="000000"/>
              </w:rPr>
              <w:t>19%</w:t>
            </w:r>
          </w:p>
        </w:tc>
        <w:tc>
          <w:tcPr>
            <w:tcW w:w="1130" w:type="dxa"/>
            <w:tcBorders>
              <w:top w:val="nil"/>
              <w:left w:val="nil"/>
              <w:bottom w:val="single" w:sz="4" w:space="0" w:color="auto"/>
              <w:right w:val="single" w:sz="8" w:space="0" w:color="auto"/>
            </w:tcBorders>
            <w:shd w:val="clear" w:color="auto" w:fill="auto"/>
            <w:noWrap/>
            <w:vAlign w:val="center"/>
            <w:hideMark/>
          </w:tcPr>
          <w:p w:rsidR="00882603" w:rsidRPr="0072532F" w:rsidRDefault="00882603" w:rsidP="009A1F3D">
            <w:pPr>
              <w:spacing w:after="0" w:line="240" w:lineRule="auto"/>
              <w:jc w:val="center"/>
              <w:rPr>
                <w:rFonts w:asciiTheme="majorHAnsi" w:eastAsia="Times New Roman" w:hAnsiTheme="majorHAnsi" w:cs="Times New Roman"/>
                <w:color w:val="000000"/>
              </w:rPr>
            </w:pPr>
            <w:r w:rsidRPr="0072532F">
              <w:rPr>
                <w:rFonts w:asciiTheme="majorHAnsi" w:eastAsia="Times New Roman" w:hAnsiTheme="majorHAnsi" w:cs="Times New Roman"/>
                <w:color w:val="000000"/>
              </w:rPr>
              <w:t>17.46%</w:t>
            </w:r>
          </w:p>
        </w:tc>
      </w:tr>
      <w:tr w:rsidR="00882603" w:rsidRPr="0072532F" w:rsidTr="009A1F3D">
        <w:trPr>
          <w:trHeight w:val="510"/>
        </w:trPr>
        <w:tc>
          <w:tcPr>
            <w:tcW w:w="3148" w:type="dxa"/>
            <w:tcBorders>
              <w:top w:val="nil"/>
              <w:left w:val="single" w:sz="8" w:space="0" w:color="auto"/>
              <w:bottom w:val="single" w:sz="8" w:space="0" w:color="auto"/>
              <w:right w:val="single" w:sz="4" w:space="0" w:color="auto"/>
            </w:tcBorders>
            <w:shd w:val="clear" w:color="auto" w:fill="auto"/>
            <w:vAlign w:val="center"/>
            <w:hideMark/>
          </w:tcPr>
          <w:p w:rsidR="00882603" w:rsidRPr="0072532F" w:rsidRDefault="00882603" w:rsidP="009A1F3D">
            <w:pPr>
              <w:spacing w:after="0" w:line="240" w:lineRule="auto"/>
              <w:rPr>
                <w:rFonts w:asciiTheme="majorHAnsi" w:eastAsia="Times New Roman" w:hAnsiTheme="majorHAnsi" w:cs="Times New Roman"/>
                <w:color w:val="000000"/>
              </w:rPr>
            </w:pPr>
            <w:r w:rsidRPr="0072532F">
              <w:rPr>
                <w:rFonts w:asciiTheme="majorHAnsi" w:eastAsia="Times New Roman" w:hAnsiTheme="majorHAnsi" w:cs="Times New Roman"/>
                <w:color w:val="000000"/>
              </w:rPr>
              <w:t>Subsidies, Grants And Social Benefits</w:t>
            </w:r>
          </w:p>
        </w:tc>
        <w:tc>
          <w:tcPr>
            <w:tcW w:w="1378" w:type="dxa"/>
            <w:tcBorders>
              <w:top w:val="nil"/>
              <w:left w:val="nil"/>
              <w:bottom w:val="single" w:sz="8" w:space="0" w:color="auto"/>
              <w:right w:val="single" w:sz="4" w:space="0" w:color="auto"/>
            </w:tcBorders>
            <w:shd w:val="clear" w:color="auto" w:fill="auto"/>
            <w:noWrap/>
            <w:vAlign w:val="center"/>
            <w:hideMark/>
          </w:tcPr>
          <w:p w:rsidR="00882603" w:rsidRPr="0072532F" w:rsidRDefault="00882603" w:rsidP="009A1F3D">
            <w:pPr>
              <w:spacing w:after="0" w:line="240" w:lineRule="auto"/>
              <w:jc w:val="center"/>
              <w:rPr>
                <w:rFonts w:asciiTheme="majorHAnsi" w:eastAsia="Times New Roman" w:hAnsiTheme="majorHAnsi" w:cs="Times New Roman"/>
                <w:color w:val="000000"/>
              </w:rPr>
            </w:pPr>
            <w:r w:rsidRPr="0072532F">
              <w:rPr>
                <w:rFonts w:asciiTheme="majorHAnsi" w:eastAsia="Times New Roman" w:hAnsiTheme="majorHAnsi" w:cs="Times New Roman"/>
                <w:color w:val="000000"/>
              </w:rPr>
              <w:t>33%</w:t>
            </w:r>
          </w:p>
        </w:tc>
        <w:tc>
          <w:tcPr>
            <w:tcW w:w="1130" w:type="dxa"/>
            <w:tcBorders>
              <w:top w:val="nil"/>
              <w:left w:val="nil"/>
              <w:bottom w:val="single" w:sz="8" w:space="0" w:color="auto"/>
              <w:right w:val="single" w:sz="8" w:space="0" w:color="auto"/>
            </w:tcBorders>
            <w:shd w:val="clear" w:color="auto" w:fill="auto"/>
            <w:noWrap/>
            <w:vAlign w:val="center"/>
            <w:hideMark/>
          </w:tcPr>
          <w:p w:rsidR="00882603" w:rsidRPr="0072532F" w:rsidRDefault="00882603" w:rsidP="009A1F3D">
            <w:pPr>
              <w:spacing w:after="0" w:line="240" w:lineRule="auto"/>
              <w:jc w:val="center"/>
              <w:rPr>
                <w:rFonts w:asciiTheme="majorHAnsi" w:eastAsia="Times New Roman" w:hAnsiTheme="majorHAnsi" w:cs="Times New Roman"/>
                <w:color w:val="000000"/>
              </w:rPr>
            </w:pPr>
            <w:r w:rsidRPr="0072532F">
              <w:rPr>
                <w:rFonts w:asciiTheme="majorHAnsi" w:eastAsia="Times New Roman" w:hAnsiTheme="majorHAnsi" w:cs="Times New Roman"/>
                <w:color w:val="000000"/>
              </w:rPr>
              <w:t>3.21%</w:t>
            </w:r>
          </w:p>
        </w:tc>
      </w:tr>
    </w:tbl>
    <w:p w:rsidR="00882603" w:rsidRDefault="00882603" w:rsidP="003662AE">
      <w:pPr>
        <w:spacing w:line="480" w:lineRule="auto"/>
        <w:ind w:firstLine="709"/>
        <w:rPr>
          <w:rFonts w:asciiTheme="majorHAnsi" w:hAnsiTheme="majorHAnsi" w:cstheme="majorBidi"/>
          <w:sz w:val="24"/>
          <w:szCs w:val="24"/>
        </w:rPr>
      </w:pPr>
    </w:p>
    <w:tbl>
      <w:tblPr>
        <w:tblpPr w:leftFromText="180" w:rightFromText="180" w:vertAnchor="text" w:horzAnchor="margin" w:tblpY="17"/>
        <w:tblW w:w="9781" w:type="dxa"/>
        <w:tblLayout w:type="fixed"/>
        <w:tblLook w:val="04A0"/>
      </w:tblPr>
      <w:tblGrid>
        <w:gridCol w:w="2656"/>
        <w:gridCol w:w="1031"/>
        <w:gridCol w:w="850"/>
        <w:gridCol w:w="992"/>
        <w:gridCol w:w="993"/>
        <w:gridCol w:w="850"/>
        <w:gridCol w:w="992"/>
        <w:gridCol w:w="1417"/>
      </w:tblGrid>
      <w:tr w:rsidR="00AD3EB7" w:rsidRPr="000058A9" w:rsidTr="00382C6B">
        <w:trPr>
          <w:trHeight w:val="300"/>
        </w:trPr>
        <w:tc>
          <w:tcPr>
            <w:tcW w:w="2656" w:type="dxa"/>
            <w:tcBorders>
              <w:top w:val="nil"/>
              <w:left w:val="nil"/>
              <w:bottom w:val="nil"/>
              <w:right w:val="nil"/>
            </w:tcBorders>
            <w:shd w:val="clear" w:color="auto" w:fill="auto"/>
            <w:noWrap/>
            <w:vAlign w:val="bottom"/>
            <w:hideMark/>
          </w:tcPr>
          <w:p w:rsidR="00AD3EB7" w:rsidRPr="000058A9" w:rsidRDefault="00AD3EB7" w:rsidP="00382C6B">
            <w:pPr>
              <w:spacing w:after="0" w:line="240" w:lineRule="auto"/>
              <w:rPr>
                <w:rFonts w:asciiTheme="majorHAnsi" w:eastAsia="Times New Roman" w:hAnsiTheme="majorHAnsi" w:cstheme="majorBidi"/>
                <w:b/>
                <w:bCs/>
                <w:i/>
                <w:iCs/>
                <w:color w:val="000000"/>
                <w:sz w:val="20"/>
                <w:szCs w:val="20"/>
              </w:rPr>
            </w:pPr>
            <w:r w:rsidRPr="000058A9">
              <w:rPr>
                <w:rFonts w:asciiTheme="majorHAnsi" w:eastAsia="Times New Roman" w:hAnsiTheme="majorHAnsi" w:cstheme="majorBidi"/>
                <w:b/>
                <w:bCs/>
                <w:i/>
                <w:iCs/>
                <w:color w:val="000000"/>
                <w:sz w:val="20"/>
                <w:szCs w:val="20"/>
              </w:rPr>
              <w:t xml:space="preserve">Shares of Expenditures Per Chapters </w:t>
            </w:r>
          </w:p>
        </w:tc>
        <w:tc>
          <w:tcPr>
            <w:tcW w:w="1031" w:type="dxa"/>
            <w:tcBorders>
              <w:top w:val="nil"/>
              <w:left w:val="nil"/>
              <w:bottom w:val="nil"/>
              <w:right w:val="nil"/>
            </w:tcBorders>
            <w:shd w:val="clear" w:color="auto" w:fill="auto"/>
            <w:noWrap/>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p>
        </w:tc>
        <w:tc>
          <w:tcPr>
            <w:tcW w:w="850" w:type="dxa"/>
            <w:tcBorders>
              <w:top w:val="nil"/>
              <w:left w:val="nil"/>
              <w:bottom w:val="nil"/>
              <w:right w:val="nil"/>
            </w:tcBorders>
            <w:shd w:val="clear" w:color="auto" w:fill="auto"/>
            <w:noWrap/>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p>
        </w:tc>
        <w:tc>
          <w:tcPr>
            <w:tcW w:w="992" w:type="dxa"/>
            <w:tcBorders>
              <w:top w:val="nil"/>
              <w:left w:val="nil"/>
              <w:bottom w:val="nil"/>
              <w:right w:val="nil"/>
            </w:tcBorders>
            <w:shd w:val="clear" w:color="auto" w:fill="auto"/>
            <w:noWrap/>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p>
        </w:tc>
        <w:tc>
          <w:tcPr>
            <w:tcW w:w="993" w:type="dxa"/>
            <w:tcBorders>
              <w:top w:val="nil"/>
              <w:left w:val="nil"/>
              <w:bottom w:val="nil"/>
              <w:right w:val="nil"/>
            </w:tcBorders>
            <w:shd w:val="clear" w:color="auto" w:fill="auto"/>
            <w:noWrap/>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p>
        </w:tc>
        <w:tc>
          <w:tcPr>
            <w:tcW w:w="850" w:type="dxa"/>
            <w:tcBorders>
              <w:top w:val="nil"/>
              <w:left w:val="nil"/>
              <w:bottom w:val="nil"/>
              <w:right w:val="nil"/>
            </w:tcBorders>
            <w:shd w:val="clear" w:color="auto" w:fill="auto"/>
            <w:noWrap/>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p>
        </w:tc>
        <w:tc>
          <w:tcPr>
            <w:tcW w:w="992" w:type="dxa"/>
            <w:tcBorders>
              <w:top w:val="nil"/>
              <w:left w:val="nil"/>
              <w:bottom w:val="nil"/>
              <w:right w:val="nil"/>
            </w:tcBorders>
            <w:shd w:val="clear" w:color="auto" w:fill="auto"/>
            <w:noWrap/>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p>
        </w:tc>
        <w:tc>
          <w:tcPr>
            <w:tcW w:w="1417" w:type="dxa"/>
            <w:tcBorders>
              <w:top w:val="nil"/>
              <w:left w:val="nil"/>
              <w:bottom w:val="nil"/>
              <w:right w:val="nil"/>
            </w:tcBorders>
            <w:shd w:val="clear" w:color="auto" w:fill="auto"/>
            <w:noWrap/>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p>
        </w:tc>
      </w:tr>
      <w:tr w:rsidR="00AD3EB7" w:rsidRPr="000058A9" w:rsidTr="00382C6B">
        <w:trPr>
          <w:trHeight w:val="600"/>
        </w:trPr>
        <w:tc>
          <w:tcPr>
            <w:tcW w:w="2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EB7" w:rsidRPr="000058A9" w:rsidRDefault="00AD3EB7" w:rsidP="00382C6B">
            <w:pPr>
              <w:spacing w:after="0" w:line="240" w:lineRule="auto"/>
              <w:rPr>
                <w:rFonts w:asciiTheme="majorHAnsi" w:eastAsia="Times New Roman" w:hAnsiTheme="majorHAnsi" w:cstheme="majorBidi"/>
                <w:b/>
                <w:bCs/>
                <w:color w:val="000000"/>
                <w:sz w:val="20"/>
                <w:szCs w:val="20"/>
              </w:rPr>
            </w:pPr>
            <w:r w:rsidRPr="000058A9">
              <w:rPr>
                <w:rFonts w:asciiTheme="majorHAnsi" w:eastAsia="Times New Roman" w:hAnsiTheme="majorHAnsi" w:cstheme="majorBidi"/>
                <w:b/>
                <w:bCs/>
                <w:color w:val="000000"/>
                <w:sz w:val="20"/>
                <w:szCs w:val="20"/>
              </w:rPr>
              <w:t> Total Expending by Chapter</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b/>
                <w:bCs/>
                <w:color w:val="000000"/>
                <w:sz w:val="20"/>
                <w:szCs w:val="20"/>
              </w:rPr>
            </w:pPr>
            <w:r w:rsidRPr="000058A9">
              <w:rPr>
                <w:rFonts w:asciiTheme="majorHAnsi" w:eastAsia="Times New Roman" w:hAnsiTheme="majorHAnsi" w:cstheme="majorBidi"/>
                <w:b/>
                <w:bCs/>
                <w:color w:val="000000"/>
                <w:sz w:val="20"/>
                <w:szCs w:val="20"/>
              </w:rPr>
              <w:t>2007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b/>
                <w:bCs/>
                <w:color w:val="000000"/>
                <w:sz w:val="20"/>
                <w:szCs w:val="20"/>
              </w:rPr>
            </w:pPr>
            <w:r w:rsidRPr="000058A9">
              <w:rPr>
                <w:rFonts w:asciiTheme="majorHAnsi" w:eastAsia="Times New Roman" w:hAnsiTheme="majorHAnsi" w:cstheme="majorBidi"/>
                <w:b/>
                <w:bCs/>
                <w:color w:val="000000"/>
                <w:sz w:val="20"/>
                <w:szCs w:val="20"/>
              </w:rPr>
              <w:t>2008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b/>
                <w:bCs/>
                <w:color w:val="000000"/>
                <w:sz w:val="20"/>
                <w:szCs w:val="20"/>
              </w:rPr>
            </w:pPr>
            <w:r w:rsidRPr="000058A9">
              <w:rPr>
                <w:rFonts w:asciiTheme="majorHAnsi" w:eastAsia="Times New Roman" w:hAnsiTheme="majorHAnsi" w:cstheme="majorBidi"/>
                <w:b/>
                <w:bCs/>
                <w:color w:val="000000"/>
                <w:sz w:val="20"/>
                <w:szCs w:val="20"/>
              </w:rPr>
              <w:t>2009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b/>
                <w:bCs/>
                <w:color w:val="000000"/>
                <w:sz w:val="20"/>
                <w:szCs w:val="20"/>
              </w:rPr>
            </w:pPr>
            <w:r w:rsidRPr="000058A9">
              <w:rPr>
                <w:rFonts w:asciiTheme="majorHAnsi" w:eastAsia="Times New Roman" w:hAnsiTheme="majorHAnsi" w:cstheme="majorBidi"/>
                <w:b/>
                <w:bCs/>
                <w:color w:val="000000"/>
                <w:sz w:val="20"/>
                <w:szCs w:val="20"/>
              </w:rPr>
              <w:t>2010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b/>
                <w:bCs/>
                <w:color w:val="000000"/>
                <w:sz w:val="20"/>
                <w:szCs w:val="20"/>
              </w:rPr>
            </w:pPr>
            <w:r w:rsidRPr="000058A9">
              <w:rPr>
                <w:rFonts w:asciiTheme="majorHAnsi" w:eastAsia="Times New Roman" w:hAnsiTheme="majorHAnsi" w:cstheme="majorBidi"/>
                <w:b/>
                <w:bCs/>
                <w:color w:val="000000"/>
                <w:sz w:val="20"/>
                <w:szCs w:val="20"/>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b/>
                <w:bCs/>
                <w:color w:val="000000"/>
                <w:sz w:val="20"/>
                <w:szCs w:val="20"/>
              </w:rPr>
            </w:pPr>
            <w:r w:rsidRPr="000058A9">
              <w:rPr>
                <w:rFonts w:asciiTheme="majorHAnsi" w:eastAsia="Times New Roman" w:hAnsiTheme="majorHAnsi" w:cstheme="majorBidi"/>
                <w:b/>
                <w:bCs/>
                <w:color w:val="000000"/>
                <w:sz w:val="20"/>
                <w:szCs w:val="20"/>
              </w:rPr>
              <w:t>2012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3EB7" w:rsidRPr="000058A9" w:rsidRDefault="00AD3EB7" w:rsidP="00382C6B">
            <w:pPr>
              <w:spacing w:after="0" w:line="240" w:lineRule="auto"/>
              <w:jc w:val="center"/>
              <w:rPr>
                <w:rFonts w:asciiTheme="majorHAnsi" w:eastAsia="Times New Roman" w:hAnsiTheme="majorHAnsi" w:cstheme="majorBidi"/>
                <w:b/>
                <w:bCs/>
                <w:color w:val="000000"/>
                <w:sz w:val="20"/>
                <w:szCs w:val="20"/>
              </w:rPr>
            </w:pPr>
            <w:r w:rsidRPr="000058A9">
              <w:rPr>
                <w:rFonts w:asciiTheme="majorHAnsi" w:eastAsia="Times New Roman" w:hAnsiTheme="majorHAnsi" w:cstheme="majorBidi"/>
                <w:b/>
                <w:bCs/>
                <w:color w:val="000000"/>
                <w:sz w:val="20"/>
                <w:szCs w:val="20"/>
              </w:rPr>
              <w:t>Historical Average</w:t>
            </w:r>
          </w:p>
        </w:tc>
      </w:tr>
      <w:tr w:rsidR="00AD3EB7" w:rsidRPr="000058A9" w:rsidTr="00382C6B">
        <w:trPr>
          <w:trHeight w:val="600"/>
        </w:trPr>
        <w:tc>
          <w:tcPr>
            <w:tcW w:w="2656" w:type="dxa"/>
            <w:tcBorders>
              <w:top w:val="nil"/>
              <w:left w:val="single" w:sz="4" w:space="0" w:color="auto"/>
              <w:bottom w:val="single" w:sz="4" w:space="0" w:color="auto"/>
              <w:right w:val="single" w:sz="4" w:space="0" w:color="auto"/>
            </w:tcBorders>
            <w:shd w:val="clear" w:color="000000" w:fill="C2D69A"/>
            <w:vAlign w:val="center"/>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Compensation Of Employees</w:t>
            </w:r>
          </w:p>
        </w:tc>
        <w:tc>
          <w:tcPr>
            <w:tcW w:w="1031" w:type="dxa"/>
            <w:tcBorders>
              <w:top w:val="nil"/>
              <w:left w:val="nil"/>
              <w:bottom w:val="single" w:sz="4" w:space="0" w:color="auto"/>
              <w:right w:val="single" w:sz="4" w:space="0" w:color="auto"/>
            </w:tcBorders>
            <w:shd w:val="clear" w:color="000000" w:fill="C2D69A"/>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28%</w:t>
            </w:r>
          </w:p>
        </w:tc>
        <w:tc>
          <w:tcPr>
            <w:tcW w:w="850" w:type="dxa"/>
            <w:tcBorders>
              <w:top w:val="nil"/>
              <w:left w:val="nil"/>
              <w:bottom w:val="single" w:sz="4" w:space="0" w:color="auto"/>
              <w:right w:val="single" w:sz="4" w:space="0" w:color="auto"/>
            </w:tcBorders>
            <w:shd w:val="clear" w:color="000000" w:fill="C2D69A"/>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26%</w:t>
            </w:r>
          </w:p>
        </w:tc>
        <w:tc>
          <w:tcPr>
            <w:tcW w:w="992" w:type="dxa"/>
            <w:tcBorders>
              <w:top w:val="nil"/>
              <w:left w:val="nil"/>
              <w:bottom w:val="single" w:sz="4" w:space="0" w:color="auto"/>
              <w:right w:val="single" w:sz="4" w:space="0" w:color="auto"/>
            </w:tcBorders>
            <w:shd w:val="clear" w:color="000000" w:fill="C2D69A"/>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31%</w:t>
            </w:r>
          </w:p>
        </w:tc>
        <w:tc>
          <w:tcPr>
            <w:tcW w:w="993" w:type="dxa"/>
            <w:tcBorders>
              <w:top w:val="nil"/>
              <w:left w:val="nil"/>
              <w:bottom w:val="single" w:sz="4" w:space="0" w:color="auto"/>
              <w:right w:val="single" w:sz="4" w:space="0" w:color="auto"/>
            </w:tcBorders>
            <w:shd w:val="clear" w:color="000000" w:fill="C2D69A"/>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28%</w:t>
            </w:r>
          </w:p>
        </w:tc>
        <w:tc>
          <w:tcPr>
            <w:tcW w:w="850" w:type="dxa"/>
            <w:tcBorders>
              <w:top w:val="nil"/>
              <w:left w:val="nil"/>
              <w:bottom w:val="single" w:sz="4" w:space="0" w:color="auto"/>
              <w:right w:val="single" w:sz="4" w:space="0" w:color="auto"/>
            </w:tcBorders>
            <w:shd w:val="clear" w:color="000000" w:fill="C2D69A"/>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34%</w:t>
            </w:r>
          </w:p>
        </w:tc>
        <w:tc>
          <w:tcPr>
            <w:tcW w:w="992" w:type="dxa"/>
            <w:tcBorders>
              <w:top w:val="nil"/>
              <w:left w:val="nil"/>
              <w:bottom w:val="single" w:sz="4" w:space="0" w:color="auto"/>
              <w:right w:val="single" w:sz="4" w:space="0" w:color="auto"/>
            </w:tcBorders>
            <w:shd w:val="clear" w:color="000000" w:fill="C2D69A"/>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34%</w:t>
            </w:r>
          </w:p>
        </w:tc>
        <w:tc>
          <w:tcPr>
            <w:tcW w:w="1417" w:type="dxa"/>
            <w:tcBorders>
              <w:top w:val="nil"/>
              <w:left w:val="nil"/>
              <w:bottom w:val="single" w:sz="4" w:space="0" w:color="auto"/>
              <w:right w:val="single" w:sz="4" w:space="0" w:color="auto"/>
            </w:tcBorders>
            <w:shd w:val="clear" w:color="000000" w:fill="C2D69A"/>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30%</w:t>
            </w:r>
          </w:p>
        </w:tc>
      </w:tr>
      <w:tr w:rsidR="00AD3EB7" w:rsidRPr="000058A9" w:rsidTr="00382C6B">
        <w:trPr>
          <w:trHeight w:val="300"/>
        </w:trPr>
        <w:tc>
          <w:tcPr>
            <w:tcW w:w="2656" w:type="dxa"/>
            <w:tcBorders>
              <w:top w:val="nil"/>
              <w:left w:val="single" w:sz="4" w:space="0" w:color="auto"/>
              <w:bottom w:val="single" w:sz="4" w:space="0" w:color="auto"/>
              <w:right w:val="single" w:sz="4" w:space="0" w:color="auto"/>
            </w:tcBorders>
            <w:shd w:val="clear" w:color="000000" w:fill="D7E4BC"/>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Use of goods and services</w:t>
            </w:r>
          </w:p>
        </w:tc>
        <w:tc>
          <w:tcPr>
            <w:tcW w:w="1031" w:type="dxa"/>
            <w:tcBorders>
              <w:top w:val="nil"/>
              <w:left w:val="nil"/>
              <w:bottom w:val="single" w:sz="4" w:space="0" w:color="auto"/>
              <w:right w:val="single" w:sz="4" w:space="0" w:color="auto"/>
            </w:tcBorders>
            <w:shd w:val="clear" w:color="000000" w:fill="D7E4BC"/>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17%</w:t>
            </w:r>
          </w:p>
        </w:tc>
        <w:tc>
          <w:tcPr>
            <w:tcW w:w="850" w:type="dxa"/>
            <w:tcBorders>
              <w:top w:val="nil"/>
              <w:left w:val="nil"/>
              <w:bottom w:val="single" w:sz="4" w:space="0" w:color="auto"/>
              <w:right w:val="single" w:sz="4" w:space="0" w:color="auto"/>
            </w:tcBorders>
            <w:shd w:val="clear" w:color="000000" w:fill="D7E4BC"/>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14%</w:t>
            </w:r>
          </w:p>
        </w:tc>
        <w:tc>
          <w:tcPr>
            <w:tcW w:w="992" w:type="dxa"/>
            <w:tcBorders>
              <w:top w:val="nil"/>
              <w:left w:val="nil"/>
              <w:bottom w:val="single" w:sz="4" w:space="0" w:color="auto"/>
              <w:right w:val="single" w:sz="4" w:space="0" w:color="auto"/>
            </w:tcBorders>
            <w:shd w:val="clear" w:color="000000" w:fill="D7E4BC"/>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18%</w:t>
            </w:r>
          </w:p>
        </w:tc>
        <w:tc>
          <w:tcPr>
            <w:tcW w:w="993" w:type="dxa"/>
            <w:tcBorders>
              <w:top w:val="nil"/>
              <w:left w:val="nil"/>
              <w:bottom w:val="single" w:sz="4" w:space="0" w:color="auto"/>
              <w:right w:val="single" w:sz="4" w:space="0" w:color="auto"/>
            </w:tcBorders>
            <w:shd w:val="clear" w:color="000000" w:fill="D7E4BC"/>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18%</w:t>
            </w:r>
          </w:p>
        </w:tc>
        <w:tc>
          <w:tcPr>
            <w:tcW w:w="850" w:type="dxa"/>
            <w:tcBorders>
              <w:top w:val="nil"/>
              <w:left w:val="nil"/>
              <w:bottom w:val="single" w:sz="4" w:space="0" w:color="auto"/>
              <w:right w:val="single" w:sz="4" w:space="0" w:color="auto"/>
            </w:tcBorders>
            <w:shd w:val="clear" w:color="000000" w:fill="D7E4BC"/>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20%</w:t>
            </w:r>
          </w:p>
        </w:tc>
        <w:tc>
          <w:tcPr>
            <w:tcW w:w="992" w:type="dxa"/>
            <w:tcBorders>
              <w:top w:val="nil"/>
              <w:left w:val="nil"/>
              <w:bottom w:val="single" w:sz="4" w:space="0" w:color="auto"/>
              <w:right w:val="single" w:sz="4" w:space="0" w:color="auto"/>
            </w:tcBorders>
            <w:shd w:val="clear" w:color="000000" w:fill="D7E4BC"/>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27%</w:t>
            </w:r>
          </w:p>
        </w:tc>
        <w:tc>
          <w:tcPr>
            <w:tcW w:w="1417" w:type="dxa"/>
            <w:tcBorders>
              <w:top w:val="nil"/>
              <w:left w:val="nil"/>
              <w:bottom w:val="single" w:sz="4" w:space="0" w:color="auto"/>
              <w:right w:val="single" w:sz="4" w:space="0" w:color="auto"/>
            </w:tcBorders>
            <w:shd w:val="clear" w:color="000000" w:fill="D7E4BC"/>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19%</w:t>
            </w:r>
          </w:p>
        </w:tc>
      </w:tr>
      <w:tr w:rsidR="00AD3EB7" w:rsidRPr="000058A9" w:rsidTr="00382C6B">
        <w:trPr>
          <w:trHeight w:val="600"/>
        </w:trPr>
        <w:tc>
          <w:tcPr>
            <w:tcW w:w="2656" w:type="dxa"/>
            <w:tcBorders>
              <w:top w:val="nil"/>
              <w:left w:val="single" w:sz="4" w:space="0" w:color="auto"/>
              <w:bottom w:val="single" w:sz="4" w:space="0" w:color="auto"/>
              <w:right w:val="single" w:sz="4" w:space="0" w:color="auto"/>
            </w:tcBorders>
            <w:shd w:val="clear" w:color="000000" w:fill="948B54"/>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Subsidies, Grants And Social Benefits</w:t>
            </w:r>
          </w:p>
        </w:tc>
        <w:tc>
          <w:tcPr>
            <w:tcW w:w="1031" w:type="dxa"/>
            <w:tcBorders>
              <w:top w:val="nil"/>
              <w:left w:val="nil"/>
              <w:bottom w:val="single" w:sz="4" w:space="0" w:color="auto"/>
              <w:right w:val="single" w:sz="4" w:space="0" w:color="auto"/>
            </w:tcBorders>
            <w:shd w:val="clear" w:color="000000" w:fill="948B54"/>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30%</w:t>
            </w:r>
          </w:p>
        </w:tc>
        <w:tc>
          <w:tcPr>
            <w:tcW w:w="850" w:type="dxa"/>
            <w:tcBorders>
              <w:top w:val="nil"/>
              <w:left w:val="nil"/>
              <w:bottom w:val="single" w:sz="4" w:space="0" w:color="auto"/>
              <w:right w:val="single" w:sz="4" w:space="0" w:color="auto"/>
            </w:tcBorders>
            <w:shd w:val="clear" w:color="000000" w:fill="948B54"/>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42%</w:t>
            </w:r>
          </w:p>
        </w:tc>
        <w:tc>
          <w:tcPr>
            <w:tcW w:w="992" w:type="dxa"/>
            <w:tcBorders>
              <w:top w:val="nil"/>
              <w:left w:val="nil"/>
              <w:bottom w:val="single" w:sz="4" w:space="0" w:color="auto"/>
              <w:right w:val="single" w:sz="4" w:space="0" w:color="auto"/>
            </w:tcBorders>
            <w:shd w:val="clear" w:color="000000" w:fill="948B54"/>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30%</w:t>
            </w:r>
          </w:p>
        </w:tc>
        <w:tc>
          <w:tcPr>
            <w:tcW w:w="993" w:type="dxa"/>
            <w:tcBorders>
              <w:top w:val="nil"/>
              <w:left w:val="nil"/>
              <w:bottom w:val="single" w:sz="4" w:space="0" w:color="auto"/>
              <w:right w:val="single" w:sz="4" w:space="0" w:color="auto"/>
            </w:tcBorders>
            <w:shd w:val="clear" w:color="000000" w:fill="948B54"/>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35%</w:t>
            </w:r>
          </w:p>
        </w:tc>
        <w:tc>
          <w:tcPr>
            <w:tcW w:w="850" w:type="dxa"/>
            <w:tcBorders>
              <w:top w:val="nil"/>
              <w:left w:val="nil"/>
              <w:bottom w:val="single" w:sz="4" w:space="0" w:color="auto"/>
              <w:right w:val="single" w:sz="4" w:space="0" w:color="auto"/>
            </w:tcBorders>
            <w:shd w:val="clear" w:color="000000" w:fill="948B54"/>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34%</w:t>
            </w:r>
          </w:p>
        </w:tc>
        <w:tc>
          <w:tcPr>
            <w:tcW w:w="992" w:type="dxa"/>
            <w:tcBorders>
              <w:top w:val="nil"/>
              <w:left w:val="nil"/>
              <w:bottom w:val="single" w:sz="4" w:space="0" w:color="auto"/>
              <w:right w:val="single" w:sz="4" w:space="0" w:color="auto"/>
            </w:tcBorders>
            <w:shd w:val="clear" w:color="000000" w:fill="948B54"/>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25%</w:t>
            </w:r>
          </w:p>
        </w:tc>
        <w:tc>
          <w:tcPr>
            <w:tcW w:w="1417" w:type="dxa"/>
            <w:tcBorders>
              <w:top w:val="nil"/>
              <w:left w:val="nil"/>
              <w:bottom w:val="single" w:sz="4" w:space="0" w:color="auto"/>
              <w:right w:val="single" w:sz="4" w:space="0" w:color="auto"/>
            </w:tcBorders>
            <w:shd w:val="clear" w:color="000000" w:fill="948B54"/>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33%</w:t>
            </w:r>
          </w:p>
        </w:tc>
      </w:tr>
      <w:tr w:rsidR="00AD3EB7" w:rsidRPr="000058A9" w:rsidTr="00382C6B">
        <w:trPr>
          <w:trHeight w:val="300"/>
        </w:trPr>
        <w:tc>
          <w:tcPr>
            <w:tcW w:w="2656" w:type="dxa"/>
            <w:tcBorders>
              <w:top w:val="nil"/>
              <w:left w:val="single" w:sz="4" w:space="0" w:color="auto"/>
              <w:bottom w:val="single" w:sz="4" w:space="0" w:color="auto"/>
              <w:right w:val="single" w:sz="4" w:space="0" w:color="auto"/>
            </w:tcBorders>
            <w:shd w:val="clear" w:color="auto" w:fill="auto"/>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Unclassified  Expenditures</w:t>
            </w:r>
          </w:p>
        </w:tc>
        <w:tc>
          <w:tcPr>
            <w:tcW w:w="1031"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2%</w:t>
            </w:r>
          </w:p>
        </w:tc>
      </w:tr>
      <w:tr w:rsidR="00AD3EB7" w:rsidRPr="000058A9" w:rsidTr="00382C6B">
        <w:trPr>
          <w:trHeight w:val="600"/>
        </w:trPr>
        <w:tc>
          <w:tcPr>
            <w:tcW w:w="2656" w:type="dxa"/>
            <w:tcBorders>
              <w:top w:val="nil"/>
              <w:left w:val="single" w:sz="4" w:space="0" w:color="auto"/>
              <w:bottom w:val="single" w:sz="4" w:space="0" w:color="auto"/>
              <w:right w:val="single" w:sz="4" w:space="0" w:color="auto"/>
            </w:tcBorders>
            <w:shd w:val="clear" w:color="auto" w:fill="auto"/>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Acquisition Of Non-Financial Assets</w:t>
            </w:r>
          </w:p>
        </w:tc>
        <w:tc>
          <w:tcPr>
            <w:tcW w:w="1031"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15%</w:t>
            </w:r>
          </w:p>
        </w:tc>
        <w:tc>
          <w:tcPr>
            <w:tcW w:w="993"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12%</w:t>
            </w:r>
          </w:p>
        </w:tc>
      </w:tr>
      <w:tr w:rsidR="00AD3EB7" w:rsidRPr="000058A9" w:rsidTr="00382C6B">
        <w:trPr>
          <w:trHeight w:val="900"/>
        </w:trPr>
        <w:tc>
          <w:tcPr>
            <w:tcW w:w="2656" w:type="dxa"/>
            <w:tcBorders>
              <w:top w:val="nil"/>
              <w:left w:val="single" w:sz="4" w:space="0" w:color="auto"/>
              <w:bottom w:val="single" w:sz="4" w:space="0" w:color="auto"/>
              <w:right w:val="single" w:sz="4" w:space="0" w:color="auto"/>
            </w:tcBorders>
            <w:shd w:val="clear" w:color="auto" w:fill="auto"/>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Acquisition Of Financial  Assets&amp; Repayment Of Liabilities</w:t>
            </w:r>
          </w:p>
        </w:tc>
        <w:tc>
          <w:tcPr>
            <w:tcW w:w="1031"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4%</w:t>
            </w:r>
          </w:p>
        </w:tc>
      </w:tr>
      <w:tr w:rsidR="00AD3EB7" w:rsidRPr="000058A9" w:rsidTr="00382C6B">
        <w:trPr>
          <w:trHeight w:val="300"/>
        </w:trPr>
        <w:tc>
          <w:tcPr>
            <w:tcW w:w="2656" w:type="dxa"/>
            <w:tcBorders>
              <w:top w:val="nil"/>
              <w:left w:val="single" w:sz="4" w:space="0" w:color="auto"/>
              <w:bottom w:val="single" w:sz="4" w:space="0" w:color="auto"/>
              <w:right w:val="single" w:sz="4" w:space="0" w:color="auto"/>
            </w:tcBorders>
            <w:shd w:val="clear" w:color="auto" w:fill="auto"/>
            <w:vAlign w:val="bottom"/>
            <w:hideMark/>
          </w:tcPr>
          <w:p w:rsidR="00AD3EB7" w:rsidRPr="000058A9" w:rsidRDefault="00AD3EB7" w:rsidP="00382C6B">
            <w:pPr>
              <w:spacing w:after="0" w:line="240" w:lineRule="auto"/>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D3EB7" w:rsidRPr="000058A9" w:rsidRDefault="00AD3EB7" w:rsidP="00382C6B">
            <w:pPr>
              <w:spacing w:after="0" w:line="240" w:lineRule="auto"/>
              <w:jc w:val="center"/>
              <w:rPr>
                <w:rFonts w:asciiTheme="majorHAnsi" w:eastAsia="Times New Roman" w:hAnsiTheme="majorHAnsi" w:cstheme="majorBidi"/>
                <w:color w:val="000000"/>
                <w:sz w:val="20"/>
                <w:szCs w:val="20"/>
              </w:rPr>
            </w:pPr>
            <w:r w:rsidRPr="000058A9">
              <w:rPr>
                <w:rFonts w:asciiTheme="majorHAnsi" w:eastAsia="Times New Roman" w:hAnsiTheme="majorHAnsi" w:cstheme="majorBidi"/>
                <w:color w:val="000000"/>
                <w:sz w:val="20"/>
                <w:szCs w:val="20"/>
              </w:rPr>
              <w:t> </w:t>
            </w:r>
          </w:p>
        </w:tc>
      </w:tr>
      <w:tr w:rsidR="00AD3EB7" w:rsidRPr="000058A9" w:rsidTr="00382C6B">
        <w:trPr>
          <w:trHeight w:val="300"/>
        </w:trPr>
        <w:tc>
          <w:tcPr>
            <w:tcW w:w="2656" w:type="dxa"/>
            <w:tcBorders>
              <w:top w:val="nil"/>
              <w:left w:val="single" w:sz="4" w:space="0" w:color="auto"/>
              <w:bottom w:val="single" w:sz="4" w:space="0" w:color="auto"/>
              <w:right w:val="single" w:sz="4" w:space="0" w:color="auto"/>
            </w:tcBorders>
            <w:shd w:val="clear" w:color="auto" w:fill="auto"/>
            <w:vAlign w:val="bottom"/>
            <w:hideMark/>
          </w:tcPr>
          <w:p w:rsidR="00AD3EB7" w:rsidRPr="00A0370D" w:rsidRDefault="00AD3EB7" w:rsidP="00382C6B">
            <w:pPr>
              <w:spacing w:after="0" w:line="240" w:lineRule="auto"/>
              <w:jc w:val="center"/>
              <w:rPr>
                <w:rFonts w:asciiTheme="majorHAnsi" w:eastAsia="Times New Roman" w:hAnsiTheme="majorHAnsi" w:cstheme="majorBidi"/>
                <w:b/>
                <w:bCs/>
                <w:color w:val="000000"/>
                <w:sz w:val="20"/>
                <w:szCs w:val="20"/>
              </w:rPr>
            </w:pPr>
            <w:r w:rsidRPr="00A0370D">
              <w:rPr>
                <w:rFonts w:asciiTheme="majorHAnsi" w:eastAsia="Times New Roman" w:hAnsiTheme="majorHAnsi" w:cstheme="majorBidi"/>
                <w:b/>
                <w:bCs/>
                <w:color w:val="000000"/>
                <w:sz w:val="20"/>
                <w:szCs w:val="20"/>
              </w:rPr>
              <w:t>Total  Expending</w:t>
            </w:r>
          </w:p>
        </w:tc>
        <w:tc>
          <w:tcPr>
            <w:tcW w:w="1031" w:type="dxa"/>
            <w:tcBorders>
              <w:top w:val="nil"/>
              <w:left w:val="nil"/>
              <w:bottom w:val="single" w:sz="4" w:space="0" w:color="auto"/>
              <w:right w:val="single" w:sz="4" w:space="0" w:color="auto"/>
            </w:tcBorders>
            <w:shd w:val="clear" w:color="auto" w:fill="auto"/>
            <w:noWrap/>
            <w:vAlign w:val="center"/>
            <w:hideMark/>
          </w:tcPr>
          <w:p w:rsidR="00AD3EB7" w:rsidRPr="00A0370D" w:rsidRDefault="00AD3EB7" w:rsidP="00382C6B">
            <w:pPr>
              <w:spacing w:after="0" w:line="240" w:lineRule="auto"/>
              <w:jc w:val="center"/>
              <w:rPr>
                <w:rFonts w:asciiTheme="majorHAnsi" w:eastAsia="Times New Roman" w:hAnsiTheme="majorHAnsi" w:cstheme="majorBidi"/>
                <w:b/>
                <w:bCs/>
                <w:color w:val="000000"/>
                <w:sz w:val="20"/>
                <w:szCs w:val="20"/>
              </w:rPr>
            </w:pPr>
            <w:r w:rsidRPr="00A0370D">
              <w:rPr>
                <w:rFonts w:asciiTheme="majorHAnsi" w:eastAsia="Times New Roman" w:hAnsiTheme="majorHAnsi" w:cstheme="majorBidi"/>
                <w:b/>
                <w:bCs/>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AD3EB7" w:rsidRPr="00A0370D" w:rsidRDefault="00AD3EB7" w:rsidP="00382C6B">
            <w:pPr>
              <w:spacing w:after="0" w:line="240" w:lineRule="auto"/>
              <w:jc w:val="center"/>
              <w:rPr>
                <w:rFonts w:asciiTheme="majorHAnsi" w:eastAsia="Times New Roman" w:hAnsiTheme="majorHAnsi" w:cstheme="majorBidi"/>
                <w:b/>
                <w:bCs/>
                <w:color w:val="000000"/>
                <w:sz w:val="20"/>
                <w:szCs w:val="20"/>
              </w:rPr>
            </w:pPr>
            <w:r w:rsidRPr="00A0370D">
              <w:rPr>
                <w:rFonts w:asciiTheme="majorHAnsi" w:eastAsia="Times New Roman" w:hAnsiTheme="majorHAnsi" w:cstheme="majorBidi"/>
                <w:b/>
                <w:bCs/>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3EB7" w:rsidRPr="00A0370D" w:rsidRDefault="00AD3EB7" w:rsidP="00382C6B">
            <w:pPr>
              <w:spacing w:after="0" w:line="240" w:lineRule="auto"/>
              <w:jc w:val="center"/>
              <w:rPr>
                <w:rFonts w:asciiTheme="majorHAnsi" w:eastAsia="Times New Roman" w:hAnsiTheme="majorHAnsi" w:cstheme="majorBidi"/>
                <w:b/>
                <w:bCs/>
                <w:color w:val="000000"/>
                <w:sz w:val="20"/>
                <w:szCs w:val="20"/>
              </w:rPr>
            </w:pPr>
            <w:r w:rsidRPr="00A0370D">
              <w:rPr>
                <w:rFonts w:asciiTheme="majorHAnsi" w:eastAsia="Times New Roman" w:hAnsiTheme="majorHAnsi" w:cstheme="majorBidi"/>
                <w:b/>
                <w:bCs/>
                <w:color w:val="000000"/>
                <w:sz w:val="20"/>
                <w:szCs w:val="20"/>
              </w:rPr>
              <w:t>100%</w:t>
            </w:r>
          </w:p>
        </w:tc>
        <w:tc>
          <w:tcPr>
            <w:tcW w:w="993" w:type="dxa"/>
            <w:tcBorders>
              <w:top w:val="nil"/>
              <w:left w:val="nil"/>
              <w:bottom w:val="single" w:sz="4" w:space="0" w:color="auto"/>
              <w:right w:val="single" w:sz="4" w:space="0" w:color="auto"/>
            </w:tcBorders>
            <w:shd w:val="clear" w:color="auto" w:fill="auto"/>
            <w:noWrap/>
            <w:vAlign w:val="center"/>
            <w:hideMark/>
          </w:tcPr>
          <w:p w:rsidR="00AD3EB7" w:rsidRPr="00A0370D" w:rsidRDefault="00AD3EB7" w:rsidP="00382C6B">
            <w:pPr>
              <w:spacing w:after="0" w:line="240" w:lineRule="auto"/>
              <w:jc w:val="center"/>
              <w:rPr>
                <w:rFonts w:asciiTheme="majorHAnsi" w:eastAsia="Times New Roman" w:hAnsiTheme="majorHAnsi" w:cstheme="majorBidi"/>
                <w:b/>
                <w:bCs/>
                <w:color w:val="000000"/>
                <w:sz w:val="20"/>
                <w:szCs w:val="20"/>
              </w:rPr>
            </w:pPr>
            <w:r w:rsidRPr="00A0370D">
              <w:rPr>
                <w:rFonts w:asciiTheme="majorHAnsi" w:eastAsia="Times New Roman" w:hAnsiTheme="majorHAnsi" w:cstheme="majorBidi"/>
                <w:b/>
                <w:bCs/>
                <w:color w:val="000000"/>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AD3EB7" w:rsidRPr="00A0370D" w:rsidRDefault="00AD3EB7" w:rsidP="00382C6B">
            <w:pPr>
              <w:spacing w:after="0" w:line="240" w:lineRule="auto"/>
              <w:jc w:val="center"/>
              <w:rPr>
                <w:rFonts w:asciiTheme="majorHAnsi" w:eastAsia="Times New Roman" w:hAnsiTheme="majorHAnsi" w:cstheme="majorBidi"/>
                <w:b/>
                <w:bCs/>
                <w:color w:val="000000"/>
                <w:sz w:val="20"/>
                <w:szCs w:val="20"/>
              </w:rPr>
            </w:pPr>
            <w:r w:rsidRPr="00A0370D">
              <w:rPr>
                <w:rFonts w:asciiTheme="majorHAnsi" w:eastAsia="Times New Roman" w:hAnsiTheme="majorHAnsi" w:cstheme="majorBidi"/>
                <w:b/>
                <w:bCs/>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AD3EB7" w:rsidRPr="00A0370D" w:rsidRDefault="00AD3EB7" w:rsidP="00382C6B">
            <w:pPr>
              <w:spacing w:after="0" w:line="240" w:lineRule="auto"/>
              <w:jc w:val="center"/>
              <w:rPr>
                <w:rFonts w:asciiTheme="majorHAnsi" w:eastAsia="Times New Roman" w:hAnsiTheme="majorHAnsi" w:cstheme="majorBidi"/>
                <w:b/>
                <w:bCs/>
                <w:color w:val="000000"/>
                <w:sz w:val="20"/>
                <w:szCs w:val="20"/>
              </w:rPr>
            </w:pPr>
            <w:r w:rsidRPr="00A0370D">
              <w:rPr>
                <w:rFonts w:asciiTheme="majorHAnsi" w:eastAsia="Times New Roman" w:hAnsiTheme="majorHAnsi" w:cstheme="majorBidi"/>
                <w:b/>
                <w:bCs/>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D3EB7" w:rsidRPr="00A0370D" w:rsidRDefault="00AD3EB7" w:rsidP="00382C6B">
            <w:pPr>
              <w:spacing w:after="0" w:line="240" w:lineRule="auto"/>
              <w:jc w:val="center"/>
              <w:rPr>
                <w:rFonts w:asciiTheme="majorHAnsi" w:eastAsia="Times New Roman" w:hAnsiTheme="majorHAnsi" w:cstheme="majorBidi"/>
                <w:b/>
                <w:bCs/>
                <w:color w:val="000000"/>
                <w:sz w:val="20"/>
                <w:szCs w:val="20"/>
              </w:rPr>
            </w:pPr>
            <w:r w:rsidRPr="00A0370D">
              <w:rPr>
                <w:rFonts w:asciiTheme="majorHAnsi" w:eastAsia="Times New Roman" w:hAnsiTheme="majorHAnsi" w:cstheme="majorBidi"/>
                <w:b/>
                <w:bCs/>
                <w:color w:val="000000"/>
                <w:sz w:val="20"/>
                <w:szCs w:val="20"/>
              </w:rPr>
              <w:t>100%</w:t>
            </w:r>
          </w:p>
        </w:tc>
      </w:tr>
    </w:tbl>
    <w:p w:rsidR="00382C6B" w:rsidRDefault="003662AE">
      <w:pPr>
        <w:spacing w:line="480" w:lineRule="auto"/>
        <w:ind w:firstLine="709"/>
        <w:rPr>
          <w:rFonts w:asciiTheme="majorHAnsi" w:hAnsiTheme="majorHAnsi" w:cstheme="majorBidi"/>
          <w:sz w:val="24"/>
          <w:szCs w:val="24"/>
        </w:rPr>
      </w:pPr>
      <w:r w:rsidRPr="0072532F">
        <w:rPr>
          <w:rFonts w:asciiTheme="majorHAnsi" w:hAnsiTheme="majorHAnsi" w:cstheme="majorBidi"/>
          <w:b/>
          <w:bCs/>
          <w:sz w:val="24"/>
          <w:szCs w:val="24"/>
        </w:rPr>
        <w:lastRenderedPageBreak/>
        <w:t xml:space="preserve">I) </w:t>
      </w:r>
      <w:r w:rsidR="00BB412C" w:rsidRPr="0072532F">
        <w:rPr>
          <w:rFonts w:asciiTheme="majorHAnsi" w:hAnsiTheme="majorHAnsi" w:cstheme="majorBidi"/>
          <w:b/>
          <w:bCs/>
          <w:sz w:val="24"/>
          <w:szCs w:val="24"/>
        </w:rPr>
        <w:t xml:space="preserve">Compensation of Employees </w:t>
      </w:r>
      <w:r w:rsidR="0008300E">
        <w:rPr>
          <w:rFonts w:asciiTheme="majorHAnsi" w:hAnsiTheme="majorHAnsi" w:cstheme="majorBidi"/>
          <w:b/>
          <w:bCs/>
          <w:sz w:val="24"/>
          <w:szCs w:val="24"/>
        </w:rPr>
        <w:t>C</w:t>
      </w:r>
      <w:r w:rsidR="00BB412C" w:rsidRPr="0072532F">
        <w:rPr>
          <w:rFonts w:asciiTheme="majorHAnsi" w:hAnsiTheme="majorHAnsi" w:cstheme="majorBidi"/>
          <w:b/>
          <w:bCs/>
          <w:sz w:val="24"/>
          <w:szCs w:val="24"/>
        </w:rPr>
        <w:t>hapter</w:t>
      </w:r>
      <w:r w:rsidRPr="0072532F">
        <w:rPr>
          <w:rFonts w:asciiTheme="majorHAnsi" w:hAnsiTheme="majorHAnsi" w:cstheme="majorBidi"/>
          <w:sz w:val="24"/>
          <w:szCs w:val="24"/>
        </w:rPr>
        <w:t>:</w:t>
      </w:r>
      <w:r w:rsidR="00BB412C" w:rsidRPr="0072532F">
        <w:rPr>
          <w:rFonts w:asciiTheme="majorHAnsi" w:hAnsiTheme="majorHAnsi" w:cstheme="majorBidi"/>
          <w:sz w:val="24"/>
          <w:szCs w:val="24"/>
        </w:rPr>
        <w:t xml:space="preserve"> consists of two sub-chapter: </w:t>
      </w:r>
      <w:r w:rsidR="0008300E">
        <w:rPr>
          <w:rFonts w:asciiTheme="majorHAnsi" w:hAnsiTheme="majorHAnsi" w:cstheme="majorBidi"/>
          <w:sz w:val="24"/>
          <w:szCs w:val="24"/>
        </w:rPr>
        <w:t xml:space="preserve">a) </w:t>
      </w:r>
      <w:r w:rsidR="00BB412C" w:rsidRPr="0072532F">
        <w:rPr>
          <w:rFonts w:asciiTheme="majorHAnsi" w:hAnsiTheme="majorHAnsi" w:cstheme="majorBidi"/>
          <w:sz w:val="24"/>
          <w:szCs w:val="24"/>
        </w:rPr>
        <w:t xml:space="preserve">Salaries and Wages and </w:t>
      </w:r>
      <w:r w:rsidR="0008300E">
        <w:rPr>
          <w:rFonts w:asciiTheme="majorHAnsi" w:hAnsiTheme="majorHAnsi" w:cstheme="majorBidi"/>
          <w:sz w:val="24"/>
          <w:szCs w:val="24"/>
        </w:rPr>
        <w:t xml:space="preserve">b) </w:t>
      </w:r>
      <w:r w:rsidR="00BB412C" w:rsidRPr="0072532F">
        <w:rPr>
          <w:rFonts w:asciiTheme="majorHAnsi" w:hAnsiTheme="majorHAnsi" w:cstheme="majorBidi"/>
          <w:sz w:val="24"/>
          <w:szCs w:val="24"/>
        </w:rPr>
        <w:t xml:space="preserve">Social Contribution. The </w:t>
      </w:r>
      <w:r w:rsidR="00726C9A" w:rsidRPr="0072532F">
        <w:rPr>
          <w:rFonts w:asciiTheme="majorHAnsi" w:hAnsiTheme="majorHAnsi" w:cstheme="majorBidi"/>
          <w:sz w:val="24"/>
          <w:szCs w:val="24"/>
        </w:rPr>
        <w:t xml:space="preserve">sub-chapter </w:t>
      </w:r>
      <w:r w:rsidR="00726C9A">
        <w:rPr>
          <w:rFonts w:asciiTheme="majorHAnsi" w:hAnsiTheme="majorHAnsi" w:cstheme="majorBidi"/>
          <w:sz w:val="24"/>
          <w:szCs w:val="24"/>
        </w:rPr>
        <w:t>"</w:t>
      </w:r>
      <w:r w:rsidR="00BB412C" w:rsidRPr="0072532F">
        <w:rPr>
          <w:rFonts w:asciiTheme="majorHAnsi" w:hAnsiTheme="majorHAnsi" w:cstheme="majorBidi"/>
          <w:sz w:val="24"/>
          <w:szCs w:val="24"/>
        </w:rPr>
        <w:t>Salaries and Wages</w:t>
      </w:r>
      <w:r w:rsidR="00726C9A">
        <w:rPr>
          <w:rFonts w:asciiTheme="majorHAnsi" w:hAnsiTheme="majorHAnsi" w:cstheme="majorBidi"/>
          <w:sz w:val="24"/>
          <w:szCs w:val="24"/>
        </w:rPr>
        <w:t>"</w:t>
      </w:r>
      <w:r w:rsidR="00D8782F">
        <w:rPr>
          <w:rFonts w:asciiTheme="majorHAnsi" w:hAnsiTheme="majorHAnsi" w:cstheme="majorBidi"/>
          <w:sz w:val="24"/>
          <w:szCs w:val="24"/>
        </w:rPr>
        <w:t xml:space="preserve"> </w:t>
      </w:r>
      <w:r w:rsidRPr="0072532F">
        <w:rPr>
          <w:rFonts w:asciiTheme="majorHAnsi" w:hAnsiTheme="majorHAnsi" w:cstheme="majorBidi"/>
          <w:sz w:val="24"/>
          <w:szCs w:val="24"/>
        </w:rPr>
        <w:t xml:space="preserve">makes up 95% of total Compensation of Employees. As shown in Table 3, this chapter has been increasing since 2007 with annual growth rate of 11%.  </w:t>
      </w:r>
      <w:r w:rsidR="002D71BC" w:rsidRPr="0072532F">
        <w:rPr>
          <w:rFonts w:asciiTheme="majorHAnsi" w:hAnsiTheme="majorHAnsi" w:cstheme="majorBidi"/>
          <w:sz w:val="24"/>
          <w:szCs w:val="24"/>
        </w:rPr>
        <w:t>In</w:t>
      </w:r>
      <w:r w:rsidRPr="0072532F">
        <w:rPr>
          <w:rFonts w:asciiTheme="majorHAnsi" w:hAnsiTheme="majorHAnsi" w:cstheme="majorBidi"/>
          <w:sz w:val="24"/>
          <w:szCs w:val="24"/>
        </w:rPr>
        <w:t xml:space="preserve"> 201</w:t>
      </w:r>
      <w:r w:rsidR="00B37676">
        <w:rPr>
          <w:rFonts w:asciiTheme="majorHAnsi" w:hAnsiTheme="majorHAnsi" w:cstheme="majorBidi"/>
          <w:sz w:val="24"/>
          <w:szCs w:val="24"/>
        </w:rPr>
        <w:t>2</w:t>
      </w:r>
      <w:r w:rsidRPr="0072532F">
        <w:rPr>
          <w:rFonts w:asciiTheme="majorHAnsi" w:hAnsiTheme="majorHAnsi" w:cstheme="majorBidi"/>
          <w:sz w:val="24"/>
          <w:szCs w:val="24"/>
        </w:rPr>
        <w:t>, the MoF announced that the total number of government employees who receives a payroll is about 1.2 million</w:t>
      </w:r>
      <w:r w:rsidR="002D71BC" w:rsidRPr="0072532F">
        <w:rPr>
          <w:rFonts w:asciiTheme="majorHAnsi" w:hAnsiTheme="majorHAnsi" w:cstheme="majorBidi"/>
          <w:sz w:val="24"/>
          <w:szCs w:val="24"/>
        </w:rPr>
        <w:t xml:space="preserve"> for a</w:t>
      </w:r>
      <w:r w:rsidR="006F2C42">
        <w:rPr>
          <w:rFonts w:asciiTheme="majorHAnsi" w:hAnsiTheme="majorHAnsi" w:cstheme="majorBidi"/>
          <w:sz w:val="24"/>
          <w:szCs w:val="24"/>
        </w:rPr>
        <w:t>n</w:t>
      </w:r>
      <w:r w:rsidR="002D71BC" w:rsidRPr="0072532F">
        <w:rPr>
          <w:rFonts w:asciiTheme="majorHAnsi" w:hAnsiTheme="majorHAnsi" w:cstheme="majorBidi"/>
          <w:sz w:val="24"/>
          <w:szCs w:val="24"/>
        </w:rPr>
        <w:t xml:space="preserve"> estimated </w:t>
      </w:r>
      <w:r w:rsidR="006F2C42">
        <w:rPr>
          <w:rFonts w:asciiTheme="majorHAnsi" w:hAnsiTheme="majorHAnsi" w:cstheme="majorBidi"/>
          <w:sz w:val="24"/>
          <w:szCs w:val="24"/>
        </w:rPr>
        <w:t>bill</w:t>
      </w:r>
      <w:r w:rsidR="002D71BC" w:rsidRPr="0072532F">
        <w:rPr>
          <w:rFonts w:asciiTheme="majorHAnsi" w:hAnsiTheme="majorHAnsi" w:cstheme="majorBidi"/>
          <w:sz w:val="24"/>
          <w:szCs w:val="24"/>
        </w:rPr>
        <w:t xml:space="preserve"> of $3.</w:t>
      </w:r>
      <w:r w:rsidR="008A3E74">
        <w:rPr>
          <w:rFonts w:asciiTheme="majorHAnsi" w:hAnsiTheme="majorHAnsi" w:cstheme="majorBidi"/>
          <w:sz w:val="24"/>
          <w:szCs w:val="24"/>
        </w:rPr>
        <w:t>89</w:t>
      </w:r>
      <w:r w:rsidR="006F2C42">
        <w:rPr>
          <w:rFonts w:asciiTheme="majorHAnsi" w:hAnsiTheme="majorHAnsi" w:cstheme="majorBidi"/>
          <w:sz w:val="24"/>
          <w:szCs w:val="24"/>
        </w:rPr>
        <w:t>billion</w:t>
      </w:r>
      <w:r w:rsidR="008A3E74">
        <w:rPr>
          <w:rFonts w:asciiTheme="majorHAnsi" w:hAnsiTheme="majorHAnsi" w:cstheme="majorBidi"/>
          <w:sz w:val="24"/>
          <w:szCs w:val="24"/>
        </w:rPr>
        <w:t xml:space="preserve"> </w:t>
      </w:r>
      <w:r w:rsidR="00882603">
        <w:rPr>
          <w:rFonts w:asciiTheme="majorHAnsi" w:hAnsiTheme="majorHAnsi" w:cstheme="majorBidi"/>
          <w:sz w:val="24"/>
          <w:szCs w:val="24"/>
        </w:rPr>
        <w:t xml:space="preserve">or </w:t>
      </w:r>
      <w:r w:rsidR="008A3E74">
        <w:rPr>
          <w:rFonts w:asciiTheme="majorHAnsi" w:hAnsiTheme="majorHAnsi" w:cstheme="majorBidi"/>
          <w:sz w:val="24"/>
          <w:szCs w:val="24"/>
        </w:rPr>
        <w:t>YR 836.7 billion in which 91% of the total Salaries and Wages accounts for basic salaries (62%) and unallocated expenditures (29%)</w:t>
      </w:r>
      <w:r w:rsidRPr="0072532F">
        <w:rPr>
          <w:rFonts w:asciiTheme="majorHAnsi" w:hAnsiTheme="majorHAnsi" w:cstheme="majorBidi"/>
          <w:sz w:val="24"/>
          <w:szCs w:val="24"/>
        </w:rPr>
        <w:t>.</w:t>
      </w:r>
      <w:r w:rsidR="008A3E74">
        <w:rPr>
          <w:rFonts w:asciiTheme="majorHAnsi" w:hAnsiTheme="majorHAnsi" w:cstheme="majorBidi"/>
          <w:sz w:val="24"/>
          <w:szCs w:val="24"/>
        </w:rPr>
        <w:t xml:space="preserve">  The remaining 9% is mainly composed of Allowance</w:t>
      </w:r>
      <w:r w:rsidR="00882603">
        <w:rPr>
          <w:rFonts w:asciiTheme="majorHAnsi" w:hAnsiTheme="majorHAnsi" w:cstheme="majorBidi"/>
          <w:sz w:val="24"/>
          <w:szCs w:val="24"/>
        </w:rPr>
        <w:t>s</w:t>
      </w:r>
      <w:r w:rsidR="008A3E74">
        <w:rPr>
          <w:rFonts w:asciiTheme="majorHAnsi" w:hAnsiTheme="majorHAnsi" w:cstheme="majorBidi"/>
          <w:sz w:val="24"/>
          <w:szCs w:val="24"/>
        </w:rPr>
        <w:t xml:space="preserve"> (6%) and Bonuses and Overtime (2%).</w:t>
      </w:r>
      <w:r w:rsidRPr="0072532F">
        <w:rPr>
          <w:rFonts w:asciiTheme="majorHAnsi" w:hAnsiTheme="majorHAnsi" w:cstheme="majorBidi"/>
          <w:sz w:val="24"/>
          <w:szCs w:val="24"/>
        </w:rPr>
        <w:t xml:space="preserve"> </w:t>
      </w:r>
      <w:r w:rsidR="00F322E0">
        <w:rPr>
          <w:rFonts w:asciiTheme="majorHAnsi" w:hAnsiTheme="majorHAnsi" w:cstheme="majorBidi"/>
          <w:sz w:val="24"/>
          <w:szCs w:val="24"/>
        </w:rPr>
        <w:t xml:space="preserve">The 29% Unallocated Expenditures </w:t>
      </w:r>
      <w:r w:rsidR="007878DF">
        <w:rPr>
          <w:rFonts w:asciiTheme="majorHAnsi" w:hAnsiTheme="majorHAnsi" w:cstheme="majorBidi"/>
          <w:sz w:val="24"/>
          <w:szCs w:val="24"/>
        </w:rPr>
        <w:t>is the total sum of unclassified Salaries and Wages for Defense and Political Security.</w:t>
      </w:r>
      <w:r w:rsidR="00D54B74">
        <w:rPr>
          <w:rFonts w:asciiTheme="majorHAnsi" w:hAnsiTheme="majorHAnsi" w:cstheme="majorBidi"/>
          <w:sz w:val="24"/>
          <w:szCs w:val="24"/>
        </w:rPr>
        <w:t xml:space="preserve"> Further disclosures (classification breakdowns) of this budget item is not permissible according to the financial law and regulation</w:t>
      </w:r>
      <w:r w:rsidR="00A53A68">
        <w:rPr>
          <w:rFonts w:asciiTheme="majorHAnsi" w:hAnsiTheme="majorHAnsi" w:cstheme="majorBidi"/>
          <w:sz w:val="24"/>
          <w:szCs w:val="24"/>
        </w:rPr>
        <w:t>s.</w:t>
      </w:r>
    </w:p>
    <w:p w:rsidR="00382C6B" w:rsidRDefault="007878DF">
      <w:pPr>
        <w:spacing w:line="480" w:lineRule="auto"/>
        <w:ind w:firstLine="709"/>
        <w:rPr>
          <w:rFonts w:asciiTheme="majorHAnsi" w:hAnsiTheme="majorHAnsi" w:cstheme="majorBidi"/>
          <w:sz w:val="24"/>
          <w:szCs w:val="24"/>
        </w:rPr>
      </w:pPr>
      <w:r>
        <w:rPr>
          <w:rFonts w:asciiTheme="majorHAnsi" w:hAnsiTheme="majorHAnsi" w:cstheme="majorBidi"/>
          <w:sz w:val="24"/>
          <w:szCs w:val="24"/>
        </w:rPr>
        <w:t xml:space="preserve"> </w:t>
      </w:r>
      <w:r w:rsidR="00882603">
        <w:rPr>
          <w:rFonts w:asciiTheme="majorHAnsi" w:hAnsiTheme="majorHAnsi" w:cstheme="majorBidi"/>
          <w:sz w:val="24"/>
          <w:szCs w:val="24"/>
        </w:rPr>
        <w:t>Basic Salaries</w:t>
      </w:r>
      <w:r w:rsidR="009A1F3D">
        <w:rPr>
          <w:rFonts w:asciiTheme="majorHAnsi" w:hAnsiTheme="majorHAnsi" w:cstheme="majorBidi"/>
          <w:sz w:val="24"/>
          <w:szCs w:val="24"/>
        </w:rPr>
        <w:t xml:space="preserve"> are centrally imposed by the MoCSI and neither central agencies nor local units can amend basic salaries.  Thus, the total cost of basic salaries can be </w:t>
      </w:r>
      <w:r w:rsidR="00354B2B">
        <w:rPr>
          <w:rFonts w:asciiTheme="majorHAnsi" w:hAnsiTheme="majorHAnsi" w:cstheme="majorBidi"/>
          <w:sz w:val="24"/>
          <w:szCs w:val="24"/>
        </w:rPr>
        <w:t xml:space="preserve">simply </w:t>
      </w:r>
      <w:r w:rsidR="009A1F3D">
        <w:rPr>
          <w:rFonts w:asciiTheme="majorHAnsi" w:hAnsiTheme="majorHAnsi" w:cstheme="majorBidi"/>
          <w:sz w:val="24"/>
          <w:szCs w:val="24"/>
        </w:rPr>
        <w:t>estimated by knowing the number of employees</w:t>
      </w:r>
      <w:r w:rsidR="001269FE">
        <w:rPr>
          <w:rFonts w:asciiTheme="majorHAnsi" w:hAnsiTheme="majorHAnsi" w:cstheme="majorBidi"/>
          <w:sz w:val="24"/>
          <w:szCs w:val="24"/>
        </w:rPr>
        <w:t xml:space="preserve"> and their employment ranking</w:t>
      </w:r>
      <w:r w:rsidR="001859FA">
        <w:rPr>
          <w:rFonts w:asciiTheme="majorHAnsi" w:hAnsiTheme="majorHAnsi" w:cstheme="majorBidi"/>
          <w:sz w:val="24"/>
          <w:szCs w:val="24"/>
        </w:rPr>
        <w:t>s</w:t>
      </w:r>
      <w:r w:rsidR="009A1F3D">
        <w:rPr>
          <w:rFonts w:asciiTheme="majorHAnsi" w:hAnsiTheme="majorHAnsi" w:cstheme="majorBidi"/>
          <w:sz w:val="24"/>
          <w:szCs w:val="24"/>
        </w:rPr>
        <w:t xml:space="preserve"> in each central, local </w:t>
      </w:r>
      <w:r w:rsidR="001269FE">
        <w:rPr>
          <w:rFonts w:asciiTheme="majorHAnsi" w:hAnsiTheme="majorHAnsi" w:cstheme="majorBidi"/>
          <w:sz w:val="24"/>
          <w:szCs w:val="24"/>
        </w:rPr>
        <w:t>or</w:t>
      </w:r>
      <w:r w:rsidR="009A1F3D">
        <w:rPr>
          <w:rFonts w:asciiTheme="majorHAnsi" w:hAnsiTheme="majorHAnsi" w:cstheme="majorBidi"/>
          <w:sz w:val="24"/>
          <w:szCs w:val="24"/>
        </w:rPr>
        <w:t xml:space="preserve"> public unit.  However, the</w:t>
      </w:r>
      <w:r w:rsidR="00F322E0">
        <w:rPr>
          <w:rFonts w:asciiTheme="majorHAnsi" w:hAnsiTheme="majorHAnsi" w:cstheme="majorBidi"/>
          <w:sz w:val="24"/>
          <w:szCs w:val="24"/>
        </w:rPr>
        <w:t xml:space="preserve"> remaining sub-items (Temporary Contractual Salaries &amp; Wages, Bonuses &amp; Overtime, Allowances and Benefits in Kind)</w:t>
      </w:r>
      <w:r w:rsidR="009A1F3D">
        <w:rPr>
          <w:rFonts w:asciiTheme="majorHAnsi" w:hAnsiTheme="majorHAnsi" w:cstheme="majorBidi"/>
          <w:sz w:val="24"/>
          <w:szCs w:val="24"/>
        </w:rPr>
        <w:t xml:space="preserve"> </w:t>
      </w:r>
      <w:r w:rsidR="00F322E0">
        <w:rPr>
          <w:rFonts w:ascii="Times New Roman" w:hAnsi="Times New Roman" w:cs="Times New Roman"/>
          <w:sz w:val="24"/>
          <w:szCs w:val="24"/>
        </w:rPr>
        <w:t>are subject to</w:t>
      </w:r>
      <w:r w:rsidR="0040736C">
        <w:rPr>
          <w:rFonts w:ascii="Times New Roman" w:hAnsi="Times New Roman" w:cs="Times New Roman"/>
          <w:sz w:val="24"/>
          <w:szCs w:val="24"/>
        </w:rPr>
        <w:t xml:space="preserve"> a minimal oversight and differ</w:t>
      </w:r>
      <w:r w:rsidR="00F322E0">
        <w:rPr>
          <w:rFonts w:ascii="Times New Roman" w:hAnsi="Times New Roman" w:cs="Times New Roman"/>
          <w:sz w:val="24"/>
          <w:szCs w:val="24"/>
        </w:rPr>
        <w:t xml:space="preserve"> greatly among line ministries. For instance, bonus and allowances payments in the headquarters of some line ministries such as the MoF can be greater than basic salaries set by the </w:t>
      </w:r>
      <w:r w:rsidR="00F322E0" w:rsidRPr="00413108">
        <w:rPr>
          <w:rFonts w:ascii="Times New Roman" w:hAnsi="Times New Roman" w:cs="Times New Roman"/>
        </w:rPr>
        <w:t>MoCSI</w:t>
      </w:r>
      <w:r w:rsidR="00F322E0">
        <w:rPr>
          <w:rFonts w:ascii="Times New Roman" w:hAnsi="Times New Roman" w:cs="Times New Roman"/>
        </w:rPr>
        <w:t>.</w:t>
      </w:r>
      <w:r w:rsidR="00F322E0">
        <w:rPr>
          <w:rFonts w:asciiTheme="majorHAnsi" w:hAnsiTheme="majorHAnsi" w:cstheme="majorBidi"/>
          <w:sz w:val="24"/>
          <w:szCs w:val="24"/>
        </w:rPr>
        <w:t xml:space="preserve"> </w:t>
      </w:r>
      <w:r w:rsidR="009A1F3D">
        <w:rPr>
          <w:rFonts w:asciiTheme="majorHAnsi" w:hAnsiTheme="majorHAnsi" w:cstheme="majorBidi"/>
          <w:sz w:val="24"/>
          <w:szCs w:val="24"/>
        </w:rPr>
        <w:t xml:space="preserve"> </w:t>
      </w:r>
      <w:r w:rsidR="0008300E">
        <w:rPr>
          <w:rFonts w:asciiTheme="majorHAnsi" w:hAnsiTheme="majorHAnsi" w:cstheme="majorBidi"/>
          <w:sz w:val="24"/>
          <w:szCs w:val="24"/>
        </w:rPr>
        <w:t>This is why payroll</w:t>
      </w:r>
      <w:r w:rsidR="00F303B1">
        <w:rPr>
          <w:rFonts w:asciiTheme="majorHAnsi" w:hAnsiTheme="majorHAnsi" w:cstheme="majorBidi"/>
          <w:sz w:val="24"/>
          <w:szCs w:val="24"/>
        </w:rPr>
        <w:t xml:space="preserve">s vary among line ministries and </w:t>
      </w:r>
      <w:r w:rsidR="00AE3914">
        <w:rPr>
          <w:rFonts w:asciiTheme="majorHAnsi" w:hAnsiTheme="majorHAnsi" w:cstheme="majorBidi"/>
          <w:sz w:val="24"/>
          <w:szCs w:val="24"/>
        </w:rPr>
        <w:t xml:space="preserve">even </w:t>
      </w:r>
      <w:r w:rsidR="00F303B1">
        <w:rPr>
          <w:rFonts w:asciiTheme="majorHAnsi" w:hAnsiTheme="majorHAnsi" w:cstheme="majorBidi"/>
          <w:sz w:val="24"/>
          <w:szCs w:val="24"/>
        </w:rPr>
        <w:t xml:space="preserve">among central and regional offices within </w:t>
      </w:r>
      <w:r w:rsidR="00AE3914">
        <w:rPr>
          <w:rFonts w:asciiTheme="majorHAnsi" w:hAnsiTheme="majorHAnsi" w:cstheme="majorBidi"/>
          <w:sz w:val="24"/>
          <w:szCs w:val="24"/>
        </w:rPr>
        <w:t>a same ministry or</w:t>
      </w:r>
      <w:r w:rsidR="0040736C">
        <w:rPr>
          <w:rFonts w:asciiTheme="majorHAnsi" w:hAnsiTheme="majorHAnsi" w:cstheme="majorBidi"/>
          <w:sz w:val="24"/>
          <w:szCs w:val="24"/>
        </w:rPr>
        <w:t xml:space="preserve"> an</w:t>
      </w:r>
      <w:r w:rsidR="00AE3914">
        <w:rPr>
          <w:rFonts w:asciiTheme="majorHAnsi" w:hAnsiTheme="majorHAnsi" w:cstheme="majorBidi"/>
          <w:sz w:val="24"/>
          <w:szCs w:val="24"/>
        </w:rPr>
        <w:t xml:space="preserve"> agency</w:t>
      </w:r>
      <w:r w:rsidR="00F303B1">
        <w:rPr>
          <w:rFonts w:asciiTheme="majorHAnsi" w:hAnsiTheme="majorHAnsi" w:cstheme="majorBidi"/>
          <w:sz w:val="24"/>
          <w:szCs w:val="24"/>
        </w:rPr>
        <w:t>.</w:t>
      </w:r>
      <w:r w:rsidR="009A1F3D">
        <w:rPr>
          <w:rFonts w:asciiTheme="majorHAnsi" w:hAnsiTheme="majorHAnsi" w:cstheme="majorBidi"/>
          <w:sz w:val="24"/>
          <w:szCs w:val="24"/>
        </w:rPr>
        <w:t xml:space="preserve"> </w:t>
      </w:r>
    </w:p>
    <w:p w:rsidR="00AD3EB7" w:rsidRDefault="00AD3EB7">
      <w:pPr>
        <w:spacing w:line="480" w:lineRule="auto"/>
        <w:ind w:firstLine="709"/>
        <w:rPr>
          <w:rFonts w:asciiTheme="majorHAnsi" w:hAnsiTheme="majorHAnsi" w:cstheme="majorBidi"/>
          <w:sz w:val="24"/>
          <w:szCs w:val="24"/>
        </w:rPr>
      </w:pPr>
    </w:p>
    <w:p w:rsidR="00AD3EB7" w:rsidRDefault="00AD3EB7">
      <w:pPr>
        <w:spacing w:line="480" w:lineRule="auto"/>
        <w:ind w:firstLine="709"/>
        <w:rPr>
          <w:rFonts w:asciiTheme="majorHAnsi" w:hAnsiTheme="majorHAnsi" w:cstheme="majorBidi"/>
          <w:sz w:val="24"/>
          <w:szCs w:val="24"/>
        </w:rPr>
      </w:pPr>
    </w:p>
    <w:p w:rsidR="00AD3EB7" w:rsidRDefault="00AD3EB7">
      <w:pPr>
        <w:spacing w:line="480" w:lineRule="auto"/>
        <w:ind w:firstLine="709"/>
        <w:rPr>
          <w:rFonts w:asciiTheme="majorHAnsi" w:hAnsiTheme="majorHAnsi" w:cstheme="majorBidi"/>
          <w:sz w:val="24"/>
          <w:szCs w:val="24"/>
        </w:rPr>
      </w:pPr>
    </w:p>
    <w:tbl>
      <w:tblPr>
        <w:tblW w:w="6181" w:type="dxa"/>
        <w:tblInd w:w="95" w:type="dxa"/>
        <w:tblLook w:val="04A0"/>
      </w:tblPr>
      <w:tblGrid>
        <w:gridCol w:w="335"/>
        <w:gridCol w:w="438"/>
        <w:gridCol w:w="438"/>
        <w:gridCol w:w="2922"/>
        <w:gridCol w:w="1642"/>
        <w:gridCol w:w="645"/>
      </w:tblGrid>
      <w:tr w:rsidR="00B37676" w:rsidRPr="00B37676" w:rsidTr="00B37676">
        <w:trPr>
          <w:trHeight w:val="330"/>
        </w:trPr>
        <w:tc>
          <w:tcPr>
            <w:tcW w:w="6181" w:type="dxa"/>
            <w:gridSpan w:val="6"/>
            <w:tcBorders>
              <w:top w:val="nil"/>
              <w:left w:val="nil"/>
              <w:bottom w:val="single" w:sz="8" w:space="0" w:color="auto"/>
              <w:right w:val="nil"/>
            </w:tcBorders>
            <w:shd w:val="clear" w:color="auto" w:fill="auto"/>
            <w:noWrap/>
            <w:vAlign w:val="bottom"/>
            <w:hideMark/>
          </w:tcPr>
          <w:p w:rsidR="00B37676" w:rsidRPr="00B37676" w:rsidRDefault="00B37676" w:rsidP="00B37676">
            <w:pPr>
              <w:spacing w:after="0" w:line="240" w:lineRule="auto"/>
              <w:rPr>
                <w:rFonts w:ascii="Cambria" w:eastAsia="Times New Roman" w:hAnsi="Cambria" w:cs="Times New Roman"/>
                <w:b/>
                <w:bCs/>
                <w:i/>
                <w:iCs/>
                <w:color w:val="000000"/>
                <w:sz w:val="24"/>
                <w:szCs w:val="24"/>
              </w:rPr>
            </w:pPr>
            <w:r>
              <w:rPr>
                <w:rFonts w:ascii="Cambria" w:eastAsia="Times New Roman" w:hAnsi="Cambria" w:cs="Times New Roman"/>
                <w:b/>
                <w:bCs/>
                <w:i/>
                <w:iCs/>
                <w:color w:val="000000"/>
                <w:sz w:val="24"/>
                <w:szCs w:val="24"/>
              </w:rPr>
              <w:t>*</w:t>
            </w:r>
            <w:r w:rsidRPr="00B37676">
              <w:rPr>
                <w:rFonts w:ascii="Cambria" w:eastAsia="Times New Roman" w:hAnsi="Cambria" w:cs="Times New Roman"/>
                <w:b/>
                <w:bCs/>
                <w:i/>
                <w:iCs/>
                <w:color w:val="000000"/>
                <w:sz w:val="24"/>
                <w:szCs w:val="24"/>
              </w:rPr>
              <w:t>Composition of Salaries and Wages</w:t>
            </w:r>
            <w:r>
              <w:rPr>
                <w:rFonts w:ascii="Cambria" w:eastAsia="Times New Roman" w:hAnsi="Cambria" w:cs="Times New Roman"/>
                <w:b/>
                <w:bCs/>
                <w:i/>
                <w:iCs/>
                <w:color w:val="000000"/>
                <w:sz w:val="24"/>
                <w:szCs w:val="24"/>
              </w:rPr>
              <w:t xml:space="preserve"> </w:t>
            </w:r>
            <w:r>
              <w:rPr>
                <w:rFonts w:ascii="Cambria" w:eastAsia="Times New Roman" w:hAnsi="Cambria" w:cs="Times New Roman"/>
                <w:b/>
                <w:bCs/>
                <w:i/>
                <w:iCs/>
                <w:color w:val="000000"/>
                <w:sz w:val="20"/>
                <w:szCs w:val="20"/>
              </w:rPr>
              <w:t>(in millions of YR)</w:t>
            </w:r>
            <w:r w:rsidRPr="00B37676">
              <w:rPr>
                <w:rFonts w:ascii="Cambria" w:eastAsia="Times New Roman" w:hAnsi="Cambria" w:cs="Times New Roman"/>
                <w:b/>
                <w:bCs/>
                <w:i/>
                <w:iCs/>
                <w:color w:val="000000"/>
                <w:sz w:val="24"/>
                <w:szCs w:val="24"/>
              </w:rPr>
              <w:t xml:space="preserve"> </w:t>
            </w:r>
          </w:p>
        </w:tc>
      </w:tr>
      <w:tr w:rsidR="00B37676" w:rsidRPr="00B37676" w:rsidTr="00B37676">
        <w:trPr>
          <w:trHeight w:val="315"/>
        </w:trPr>
        <w:tc>
          <w:tcPr>
            <w:tcW w:w="220" w:type="dxa"/>
            <w:tcBorders>
              <w:top w:val="nil"/>
              <w:left w:val="single" w:sz="8" w:space="0" w:color="auto"/>
              <w:bottom w:val="nil"/>
              <w:right w:val="nil"/>
            </w:tcBorders>
            <w:shd w:val="clear" w:color="000000" w:fill="C2D69A"/>
            <w:noWrap/>
            <w:vAlign w:val="center"/>
            <w:hideMark/>
          </w:tcPr>
          <w:p w:rsidR="00B37676" w:rsidRPr="00B37676" w:rsidRDefault="00B37676" w:rsidP="00B37676">
            <w:pPr>
              <w:spacing w:after="0" w:line="240" w:lineRule="auto"/>
              <w:jc w:val="center"/>
              <w:rPr>
                <w:rFonts w:ascii="Cambria" w:eastAsia="Times New Roman" w:hAnsi="Cambria" w:cs="Times New Roman"/>
                <w:b/>
                <w:bCs/>
                <w:sz w:val="20"/>
                <w:szCs w:val="20"/>
              </w:rPr>
            </w:pPr>
            <w:r w:rsidRPr="00B37676">
              <w:rPr>
                <w:rFonts w:ascii="Cambria" w:eastAsia="Times New Roman" w:hAnsi="Cambria" w:cs="Times New Roman"/>
                <w:b/>
                <w:bCs/>
                <w:sz w:val="20"/>
                <w:szCs w:val="20"/>
              </w:rPr>
              <w:t>1</w:t>
            </w:r>
          </w:p>
        </w:tc>
        <w:tc>
          <w:tcPr>
            <w:tcW w:w="3674" w:type="dxa"/>
            <w:gridSpan w:val="3"/>
            <w:tcBorders>
              <w:top w:val="single" w:sz="8" w:space="0" w:color="auto"/>
              <w:left w:val="nil"/>
              <w:bottom w:val="single" w:sz="8" w:space="0" w:color="auto"/>
              <w:right w:val="single" w:sz="4" w:space="0" w:color="000000"/>
            </w:tcBorders>
            <w:shd w:val="clear" w:color="000000" w:fill="C2D69A"/>
            <w:noWrap/>
            <w:vAlign w:val="center"/>
            <w:hideMark/>
          </w:tcPr>
          <w:p w:rsidR="00B37676" w:rsidRPr="00B37676" w:rsidRDefault="00B37676" w:rsidP="00B37676">
            <w:pPr>
              <w:spacing w:after="0" w:line="240" w:lineRule="auto"/>
              <w:rPr>
                <w:rFonts w:ascii="Cambria" w:eastAsia="Times New Roman" w:hAnsi="Cambria" w:cs="Times New Roman"/>
                <w:b/>
                <w:bCs/>
                <w:sz w:val="20"/>
                <w:szCs w:val="20"/>
              </w:rPr>
            </w:pPr>
            <w:r w:rsidRPr="00B37676">
              <w:rPr>
                <w:rFonts w:ascii="Cambria" w:eastAsia="Times New Roman" w:hAnsi="Cambria" w:cs="Times New Roman"/>
                <w:b/>
                <w:bCs/>
                <w:sz w:val="20"/>
                <w:szCs w:val="20"/>
              </w:rPr>
              <w:t>Compensation Of Employees</w:t>
            </w:r>
          </w:p>
        </w:tc>
        <w:tc>
          <w:tcPr>
            <w:tcW w:w="1642" w:type="dxa"/>
            <w:tcBorders>
              <w:top w:val="nil"/>
              <w:left w:val="nil"/>
              <w:bottom w:val="single" w:sz="8" w:space="0" w:color="auto"/>
              <w:right w:val="single" w:sz="4" w:space="0" w:color="auto"/>
            </w:tcBorders>
            <w:shd w:val="clear" w:color="000000" w:fill="C2D69A"/>
            <w:noWrap/>
            <w:vAlign w:val="center"/>
            <w:hideMark/>
          </w:tcPr>
          <w:p w:rsidR="00B37676" w:rsidRPr="00B37676" w:rsidRDefault="00B37676" w:rsidP="00B37676">
            <w:pPr>
              <w:spacing w:after="0" w:line="240" w:lineRule="auto"/>
              <w:jc w:val="center"/>
              <w:rPr>
                <w:rFonts w:ascii="Cambria" w:eastAsia="Times New Roman" w:hAnsi="Cambria" w:cs="Times New Roman"/>
                <w:b/>
                <w:bCs/>
                <w:color w:val="000000"/>
                <w:sz w:val="20"/>
                <w:szCs w:val="20"/>
              </w:rPr>
            </w:pPr>
            <w:r w:rsidRPr="00B37676">
              <w:rPr>
                <w:rFonts w:ascii="Cambria" w:eastAsia="Times New Roman" w:hAnsi="Cambria" w:cs="Times New Roman"/>
                <w:b/>
                <w:bCs/>
                <w:color w:val="000000"/>
                <w:sz w:val="20"/>
                <w:szCs w:val="20"/>
              </w:rPr>
              <w:t xml:space="preserve">      886,287 </w:t>
            </w:r>
          </w:p>
        </w:tc>
        <w:tc>
          <w:tcPr>
            <w:tcW w:w="645" w:type="dxa"/>
            <w:tcBorders>
              <w:top w:val="nil"/>
              <w:left w:val="nil"/>
              <w:bottom w:val="single" w:sz="8" w:space="0" w:color="auto"/>
              <w:right w:val="single" w:sz="8" w:space="0" w:color="auto"/>
            </w:tcBorders>
            <w:shd w:val="clear" w:color="000000" w:fill="C2D69A"/>
            <w:noWrap/>
            <w:vAlign w:val="center"/>
            <w:hideMark/>
          </w:tcPr>
          <w:p w:rsidR="00B37676" w:rsidRPr="00B37676" w:rsidRDefault="00B37676" w:rsidP="00B37676">
            <w:pPr>
              <w:spacing w:after="0" w:line="240" w:lineRule="auto"/>
              <w:jc w:val="center"/>
              <w:rPr>
                <w:rFonts w:ascii="Cambria" w:eastAsia="Times New Roman" w:hAnsi="Cambria" w:cs="Times New Roman"/>
                <w:b/>
                <w:bCs/>
                <w:color w:val="000000"/>
                <w:sz w:val="20"/>
                <w:szCs w:val="20"/>
              </w:rPr>
            </w:pPr>
            <w:r w:rsidRPr="00B37676">
              <w:rPr>
                <w:rFonts w:ascii="Cambria" w:eastAsia="Times New Roman" w:hAnsi="Cambria" w:cs="Times New Roman"/>
                <w:b/>
                <w:bCs/>
                <w:color w:val="000000"/>
                <w:sz w:val="20"/>
                <w:szCs w:val="20"/>
              </w:rPr>
              <w:t> </w:t>
            </w:r>
          </w:p>
        </w:tc>
      </w:tr>
      <w:tr w:rsidR="00B37676" w:rsidRPr="00B37676" w:rsidTr="00B37676">
        <w:trPr>
          <w:trHeight w:val="300"/>
        </w:trPr>
        <w:tc>
          <w:tcPr>
            <w:tcW w:w="220" w:type="dxa"/>
            <w:tcBorders>
              <w:top w:val="nil"/>
              <w:left w:val="single" w:sz="8" w:space="0" w:color="auto"/>
              <w:bottom w:val="nil"/>
              <w:right w:val="nil"/>
            </w:tcBorders>
            <w:shd w:val="clear" w:color="000000" w:fill="C2D69A"/>
            <w:noWrap/>
            <w:vAlign w:val="center"/>
            <w:hideMark/>
          </w:tcPr>
          <w:p w:rsidR="00B37676" w:rsidRPr="00B37676" w:rsidRDefault="00B37676" w:rsidP="00B37676">
            <w:pPr>
              <w:spacing w:after="0" w:line="240" w:lineRule="auto"/>
              <w:jc w:val="center"/>
              <w:rPr>
                <w:rFonts w:ascii="Cambria" w:eastAsia="Times New Roman" w:hAnsi="Cambria" w:cs="Times New Roman"/>
                <w:b/>
                <w:bCs/>
                <w:sz w:val="20"/>
                <w:szCs w:val="20"/>
              </w:rPr>
            </w:pPr>
            <w:r w:rsidRPr="00B37676">
              <w:rPr>
                <w:rFonts w:ascii="Cambria" w:eastAsia="Times New Roman" w:hAnsi="Cambria" w:cs="Times New Roman"/>
                <w:b/>
                <w:bCs/>
                <w:sz w:val="20"/>
                <w:szCs w:val="20"/>
              </w:rPr>
              <w:t> </w:t>
            </w:r>
          </w:p>
        </w:tc>
        <w:tc>
          <w:tcPr>
            <w:tcW w:w="376" w:type="dxa"/>
            <w:tcBorders>
              <w:top w:val="nil"/>
              <w:left w:val="single" w:sz="8" w:space="0" w:color="auto"/>
              <w:bottom w:val="single" w:sz="4" w:space="0" w:color="auto"/>
              <w:right w:val="single" w:sz="4"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01</w:t>
            </w:r>
          </w:p>
        </w:tc>
        <w:tc>
          <w:tcPr>
            <w:tcW w:w="3298" w:type="dxa"/>
            <w:gridSpan w:val="2"/>
            <w:tcBorders>
              <w:top w:val="single" w:sz="8" w:space="0" w:color="auto"/>
              <w:left w:val="nil"/>
              <w:bottom w:val="single" w:sz="4" w:space="0" w:color="auto"/>
              <w:right w:val="single" w:sz="4" w:space="0" w:color="000000"/>
            </w:tcBorders>
            <w:shd w:val="clear" w:color="000000" w:fill="CCFF33"/>
            <w:noWrap/>
            <w:vAlign w:val="center"/>
            <w:hideMark/>
          </w:tcPr>
          <w:p w:rsidR="00B37676" w:rsidRPr="00B37676" w:rsidRDefault="00B37676" w:rsidP="00B37676">
            <w:pPr>
              <w:spacing w:after="0" w:line="240" w:lineRule="auto"/>
              <w:rPr>
                <w:rFonts w:ascii="Cambria" w:eastAsia="Times New Roman" w:hAnsi="Cambria" w:cs="Times New Roman"/>
                <w:sz w:val="20"/>
                <w:szCs w:val="20"/>
              </w:rPr>
            </w:pPr>
            <w:r w:rsidRPr="00B37676">
              <w:rPr>
                <w:rFonts w:ascii="Cambria" w:eastAsia="Times New Roman" w:hAnsi="Cambria" w:cs="Times New Roman"/>
                <w:sz w:val="20"/>
                <w:szCs w:val="20"/>
              </w:rPr>
              <w:t>Salaries and Wages</w:t>
            </w:r>
          </w:p>
        </w:tc>
        <w:tc>
          <w:tcPr>
            <w:tcW w:w="1642" w:type="dxa"/>
            <w:tcBorders>
              <w:top w:val="nil"/>
              <w:left w:val="nil"/>
              <w:bottom w:val="single" w:sz="4" w:space="0" w:color="auto"/>
              <w:right w:val="single" w:sz="4"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 xml:space="preserve">        836,700 </w:t>
            </w:r>
          </w:p>
        </w:tc>
        <w:tc>
          <w:tcPr>
            <w:tcW w:w="645" w:type="dxa"/>
            <w:tcBorders>
              <w:top w:val="nil"/>
              <w:left w:val="nil"/>
              <w:bottom w:val="single" w:sz="4" w:space="0" w:color="auto"/>
              <w:right w:val="single" w:sz="8"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 </w:t>
            </w:r>
          </w:p>
        </w:tc>
      </w:tr>
      <w:tr w:rsidR="00B37676" w:rsidRPr="00B37676" w:rsidTr="00B37676">
        <w:trPr>
          <w:trHeight w:val="395"/>
        </w:trPr>
        <w:tc>
          <w:tcPr>
            <w:tcW w:w="220" w:type="dxa"/>
            <w:tcBorders>
              <w:top w:val="nil"/>
              <w:left w:val="single" w:sz="8" w:space="0" w:color="auto"/>
              <w:bottom w:val="nil"/>
              <w:right w:val="nil"/>
            </w:tcBorders>
            <w:shd w:val="clear" w:color="000000" w:fill="C2D69A"/>
            <w:noWrap/>
            <w:vAlign w:val="center"/>
            <w:hideMark/>
          </w:tcPr>
          <w:p w:rsidR="00B37676" w:rsidRPr="00B37676" w:rsidRDefault="00B37676" w:rsidP="00B37676">
            <w:pPr>
              <w:spacing w:after="0" w:line="240" w:lineRule="auto"/>
              <w:jc w:val="center"/>
              <w:rPr>
                <w:rFonts w:ascii="Cambria" w:eastAsia="Times New Roman" w:hAnsi="Cambria" w:cs="Times New Roman"/>
                <w:b/>
                <w:bCs/>
                <w:sz w:val="20"/>
                <w:szCs w:val="20"/>
              </w:rPr>
            </w:pPr>
            <w:r w:rsidRPr="00B37676">
              <w:rPr>
                <w:rFonts w:ascii="Cambria" w:eastAsia="Times New Roman" w:hAnsi="Cambria" w:cs="Times New Roman"/>
                <w:b/>
                <w:bCs/>
                <w:sz w:val="20"/>
                <w:szCs w:val="20"/>
              </w:rPr>
              <w:t> </w:t>
            </w:r>
          </w:p>
        </w:tc>
        <w:tc>
          <w:tcPr>
            <w:tcW w:w="376" w:type="dxa"/>
            <w:tcBorders>
              <w:top w:val="nil"/>
              <w:left w:val="single" w:sz="8" w:space="0" w:color="auto"/>
              <w:bottom w:val="nil"/>
              <w:right w:val="single" w:sz="4"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 </w:t>
            </w:r>
          </w:p>
        </w:tc>
        <w:tc>
          <w:tcPr>
            <w:tcW w:w="376" w:type="dxa"/>
            <w:tcBorders>
              <w:top w:val="single" w:sz="4" w:space="0" w:color="auto"/>
              <w:left w:val="nil"/>
              <w:bottom w:val="single" w:sz="4" w:space="0" w:color="auto"/>
              <w:right w:val="nil"/>
            </w:tcBorders>
            <w:shd w:val="clear" w:color="000000" w:fill="FFFFFF"/>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01</w:t>
            </w: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676" w:rsidRPr="00B37676" w:rsidRDefault="00B37676" w:rsidP="00B37676">
            <w:pPr>
              <w:spacing w:after="0" w:line="240" w:lineRule="auto"/>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Basic Salaries</w:t>
            </w:r>
          </w:p>
        </w:tc>
        <w:tc>
          <w:tcPr>
            <w:tcW w:w="1642" w:type="dxa"/>
            <w:tcBorders>
              <w:top w:val="nil"/>
              <w:left w:val="nil"/>
              <w:bottom w:val="single" w:sz="4" w:space="0" w:color="auto"/>
              <w:right w:val="single" w:sz="4"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 xml:space="preserve">    522,408.8 </w:t>
            </w:r>
          </w:p>
        </w:tc>
        <w:tc>
          <w:tcPr>
            <w:tcW w:w="645" w:type="dxa"/>
            <w:tcBorders>
              <w:top w:val="nil"/>
              <w:left w:val="nil"/>
              <w:bottom w:val="single" w:sz="4" w:space="0" w:color="auto"/>
              <w:right w:val="single" w:sz="8"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62%</w:t>
            </w:r>
          </w:p>
        </w:tc>
      </w:tr>
      <w:tr w:rsidR="00B37676" w:rsidRPr="00B37676" w:rsidTr="00B37676">
        <w:trPr>
          <w:trHeight w:val="300"/>
        </w:trPr>
        <w:tc>
          <w:tcPr>
            <w:tcW w:w="220" w:type="dxa"/>
            <w:tcBorders>
              <w:top w:val="nil"/>
              <w:left w:val="single" w:sz="8" w:space="0" w:color="auto"/>
              <w:bottom w:val="nil"/>
              <w:right w:val="nil"/>
            </w:tcBorders>
            <w:shd w:val="clear" w:color="000000" w:fill="C2D69A"/>
            <w:noWrap/>
            <w:vAlign w:val="center"/>
            <w:hideMark/>
          </w:tcPr>
          <w:p w:rsidR="00B37676" w:rsidRPr="00B37676" w:rsidRDefault="00B37676" w:rsidP="00B37676">
            <w:pPr>
              <w:spacing w:after="0" w:line="240" w:lineRule="auto"/>
              <w:jc w:val="center"/>
              <w:rPr>
                <w:rFonts w:ascii="Cambria" w:eastAsia="Times New Roman" w:hAnsi="Cambria" w:cs="Times New Roman"/>
                <w:b/>
                <w:bCs/>
                <w:sz w:val="20"/>
                <w:szCs w:val="20"/>
              </w:rPr>
            </w:pPr>
            <w:r w:rsidRPr="00B37676">
              <w:rPr>
                <w:rFonts w:ascii="Cambria" w:eastAsia="Times New Roman" w:hAnsi="Cambria" w:cs="Times New Roman"/>
                <w:b/>
                <w:bCs/>
                <w:sz w:val="20"/>
                <w:szCs w:val="20"/>
              </w:rPr>
              <w:t> </w:t>
            </w:r>
          </w:p>
        </w:tc>
        <w:tc>
          <w:tcPr>
            <w:tcW w:w="376" w:type="dxa"/>
            <w:tcBorders>
              <w:top w:val="nil"/>
              <w:left w:val="single" w:sz="8" w:space="0" w:color="auto"/>
              <w:bottom w:val="nil"/>
              <w:right w:val="single" w:sz="4"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 </w:t>
            </w:r>
          </w:p>
        </w:tc>
        <w:tc>
          <w:tcPr>
            <w:tcW w:w="376" w:type="dxa"/>
            <w:tcBorders>
              <w:top w:val="nil"/>
              <w:left w:val="nil"/>
              <w:bottom w:val="single" w:sz="4" w:space="0" w:color="auto"/>
              <w:right w:val="nil"/>
            </w:tcBorders>
            <w:shd w:val="clear" w:color="000000" w:fill="FFFFFF"/>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02</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676" w:rsidRPr="00B37676" w:rsidRDefault="00B37676" w:rsidP="00B37676">
            <w:pPr>
              <w:spacing w:after="0" w:line="240" w:lineRule="auto"/>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Temporary Contractual Salaries and Wages</w:t>
            </w:r>
          </w:p>
        </w:tc>
        <w:tc>
          <w:tcPr>
            <w:tcW w:w="1642" w:type="dxa"/>
            <w:tcBorders>
              <w:top w:val="nil"/>
              <w:left w:val="nil"/>
              <w:bottom w:val="single" w:sz="4" w:space="0" w:color="auto"/>
              <w:right w:val="single" w:sz="4"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 xml:space="preserve">         9,873.4 </w:t>
            </w:r>
          </w:p>
        </w:tc>
        <w:tc>
          <w:tcPr>
            <w:tcW w:w="645" w:type="dxa"/>
            <w:tcBorders>
              <w:top w:val="nil"/>
              <w:left w:val="nil"/>
              <w:bottom w:val="single" w:sz="4" w:space="0" w:color="auto"/>
              <w:right w:val="single" w:sz="8"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1%</w:t>
            </w:r>
          </w:p>
        </w:tc>
      </w:tr>
      <w:tr w:rsidR="00B37676" w:rsidRPr="00B37676" w:rsidTr="00B37676">
        <w:trPr>
          <w:trHeight w:val="300"/>
        </w:trPr>
        <w:tc>
          <w:tcPr>
            <w:tcW w:w="220" w:type="dxa"/>
            <w:tcBorders>
              <w:top w:val="nil"/>
              <w:left w:val="single" w:sz="8" w:space="0" w:color="auto"/>
              <w:bottom w:val="nil"/>
              <w:right w:val="nil"/>
            </w:tcBorders>
            <w:shd w:val="clear" w:color="000000" w:fill="C2D69A"/>
            <w:noWrap/>
            <w:vAlign w:val="center"/>
            <w:hideMark/>
          </w:tcPr>
          <w:p w:rsidR="00B37676" w:rsidRPr="00B37676" w:rsidRDefault="00B37676" w:rsidP="00B37676">
            <w:pPr>
              <w:spacing w:after="0" w:line="240" w:lineRule="auto"/>
              <w:jc w:val="center"/>
              <w:rPr>
                <w:rFonts w:ascii="Cambria" w:eastAsia="Times New Roman" w:hAnsi="Cambria" w:cs="Times New Roman"/>
                <w:b/>
                <w:bCs/>
                <w:sz w:val="20"/>
                <w:szCs w:val="20"/>
              </w:rPr>
            </w:pPr>
            <w:r w:rsidRPr="00B37676">
              <w:rPr>
                <w:rFonts w:ascii="Cambria" w:eastAsia="Times New Roman" w:hAnsi="Cambria" w:cs="Times New Roman"/>
                <w:b/>
                <w:bCs/>
                <w:sz w:val="20"/>
                <w:szCs w:val="20"/>
              </w:rPr>
              <w:t> </w:t>
            </w:r>
          </w:p>
        </w:tc>
        <w:tc>
          <w:tcPr>
            <w:tcW w:w="376" w:type="dxa"/>
            <w:tcBorders>
              <w:top w:val="nil"/>
              <w:left w:val="single" w:sz="8" w:space="0" w:color="auto"/>
              <w:bottom w:val="nil"/>
              <w:right w:val="single" w:sz="4"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 </w:t>
            </w:r>
          </w:p>
        </w:tc>
        <w:tc>
          <w:tcPr>
            <w:tcW w:w="376" w:type="dxa"/>
            <w:tcBorders>
              <w:top w:val="nil"/>
              <w:left w:val="nil"/>
              <w:bottom w:val="single" w:sz="4" w:space="0" w:color="auto"/>
              <w:right w:val="nil"/>
            </w:tcBorders>
            <w:shd w:val="clear" w:color="000000" w:fill="FFFFFF"/>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03</w:t>
            </w: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676" w:rsidRPr="00B37676" w:rsidRDefault="00B37676" w:rsidP="00B37676">
            <w:pPr>
              <w:spacing w:after="0" w:line="240" w:lineRule="auto"/>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Bonuses and overtime</w:t>
            </w:r>
          </w:p>
        </w:tc>
        <w:tc>
          <w:tcPr>
            <w:tcW w:w="1642" w:type="dxa"/>
            <w:tcBorders>
              <w:top w:val="nil"/>
              <w:left w:val="nil"/>
              <w:bottom w:val="single" w:sz="4" w:space="0" w:color="auto"/>
              <w:right w:val="single" w:sz="4"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 xml:space="preserve">       14,516.7 </w:t>
            </w:r>
          </w:p>
        </w:tc>
        <w:tc>
          <w:tcPr>
            <w:tcW w:w="645" w:type="dxa"/>
            <w:tcBorders>
              <w:top w:val="nil"/>
              <w:left w:val="nil"/>
              <w:bottom w:val="single" w:sz="4" w:space="0" w:color="auto"/>
              <w:right w:val="single" w:sz="8"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2%</w:t>
            </w:r>
          </w:p>
        </w:tc>
      </w:tr>
      <w:tr w:rsidR="00B37676" w:rsidRPr="00B37676" w:rsidTr="00B37676">
        <w:trPr>
          <w:trHeight w:val="300"/>
        </w:trPr>
        <w:tc>
          <w:tcPr>
            <w:tcW w:w="220" w:type="dxa"/>
            <w:tcBorders>
              <w:top w:val="nil"/>
              <w:left w:val="single" w:sz="8" w:space="0" w:color="auto"/>
              <w:bottom w:val="nil"/>
              <w:right w:val="nil"/>
            </w:tcBorders>
            <w:shd w:val="clear" w:color="000000" w:fill="C2D69A"/>
            <w:noWrap/>
            <w:vAlign w:val="center"/>
            <w:hideMark/>
          </w:tcPr>
          <w:p w:rsidR="00B37676" w:rsidRPr="00B37676" w:rsidRDefault="00B37676" w:rsidP="00B37676">
            <w:pPr>
              <w:spacing w:after="0" w:line="240" w:lineRule="auto"/>
              <w:jc w:val="center"/>
              <w:rPr>
                <w:rFonts w:ascii="Cambria" w:eastAsia="Times New Roman" w:hAnsi="Cambria" w:cs="Times New Roman"/>
                <w:b/>
                <w:bCs/>
                <w:sz w:val="20"/>
                <w:szCs w:val="20"/>
              </w:rPr>
            </w:pPr>
            <w:r w:rsidRPr="00B37676">
              <w:rPr>
                <w:rFonts w:ascii="Cambria" w:eastAsia="Times New Roman" w:hAnsi="Cambria" w:cs="Times New Roman"/>
                <w:b/>
                <w:bCs/>
                <w:sz w:val="20"/>
                <w:szCs w:val="20"/>
              </w:rPr>
              <w:t> </w:t>
            </w:r>
          </w:p>
        </w:tc>
        <w:tc>
          <w:tcPr>
            <w:tcW w:w="376" w:type="dxa"/>
            <w:tcBorders>
              <w:top w:val="nil"/>
              <w:left w:val="single" w:sz="8" w:space="0" w:color="auto"/>
              <w:bottom w:val="nil"/>
              <w:right w:val="single" w:sz="4"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 </w:t>
            </w:r>
          </w:p>
        </w:tc>
        <w:tc>
          <w:tcPr>
            <w:tcW w:w="376" w:type="dxa"/>
            <w:tcBorders>
              <w:top w:val="nil"/>
              <w:left w:val="nil"/>
              <w:bottom w:val="single" w:sz="4" w:space="0" w:color="auto"/>
              <w:right w:val="nil"/>
            </w:tcBorders>
            <w:shd w:val="clear" w:color="000000" w:fill="FFFFFF"/>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04</w:t>
            </w: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676" w:rsidRPr="00B37676" w:rsidRDefault="00B37676" w:rsidP="00B37676">
            <w:pPr>
              <w:spacing w:after="0" w:line="240" w:lineRule="auto"/>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Allowances</w:t>
            </w:r>
          </w:p>
        </w:tc>
        <w:tc>
          <w:tcPr>
            <w:tcW w:w="1642" w:type="dxa"/>
            <w:tcBorders>
              <w:top w:val="nil"/>
              <w:left w:val="nil"/>
              <w:bottom w:val="single" w:sz="4" w:space="0" w:color="auto"/>
              <w:right w:val="single" w:sz="4"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 xml:space="preserve">       48,719.3 </w:t>
            </w:r>
          </w:p>
        </w:tc>
        <w:tc>
          <w:tcPr>
            <w:tcW w:w="645" w:type="dxa"/>
            <w:tcBorders>
              <w:top w:val="nil"/>
              <w:left w:val="nil"/>
              <w:bottom w:val="single" w:sz="4" w:space="0" w:color="auto"/>
              <w:right w:val="single" w:sz="8"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6%</w:t>
            </w:r>
          </w:p>
        </w:tc>
      </w:tr>
      <w:tr w:rsidR="00B37676" w:rsidRPr="00B37676" w:rsidTr="00B37676">
        <w:trPr>
          <w:trHeight w:val="300"/>
        </w:trPr>
        <w:tc>
          <w:tcPr>
            <w:tcW w:w="220" w:type="dxa"/>
            <w:tcBorders>
              <w:top w:val="nil"/>
              <w:left w:val="single" w:sz="8" w:space="0" w:color="auto"/>
              <w:bottom w:val="nil"/>
              <w:right w:val="nil"/>
            </w:tcBorders>
            <w:shd w:val="clear" w:color="000000" w:fill="C2D69A"/>
            <w:noWrap/>
            <w:vAlign w:val="center"/>
            <w:hideMark/>
          </w:tcPr>
          <w:p w:rsidR="00B37676" w:rsidRPr="00B37676" w:rsidRDefault="00B37676" w:rsidP="00B37676">
            <w:pPr>
              <w:spacing w:after="0" w:line="240" w:lineRule="auto"/>
              <w:jc w:val="center"/>
              <w:rPr>
                <w:rFonts w:ascii="Cambria" w:eastAsia="Times New Roman" w:hAnsi="Cambria" w:cs="Times New Roman"/>
                <w:b/>
                <w:bCs/>
                <w:sz w:val="20"/>
                <w:szCs w:val="20"/>
              </w:rPr>
            </w:pPr>
            <w:r w:rsidRPr="00B37676">
              <w:rPr>
                <w:rFonts w:ascii="Cambria" w:eastAsia="Times New Roman" w:hAnsi="Cambria" w:cs="Times New Roman"/>
                <w:b/>
                <w:bCs/>
                <w:sz w:val="20"/>
                <w:szCs w:val="20"/>
              </w:rPr>
              <w:t> </w:t>
            </w:r>
          </w:p>
        </w:tc>
        <w:tc>
          <w:tcPr>
            <w:tcW w:w="376" w:type="dxa"/>
            <w:tcBorders>
              <w:top w:val="nil"/>
              <w:left w:val="single" w:sz="8" w:space="0" w:color="auto"/>
              <w:bottom w:val="nil"/>
              <w:right w:val="single" w:sz="4"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 </w:t>
            </w:r>
          </w:p>
        </w:tc>
        <w:tc>
          <w:tcPr>
            <w:tcW w:w="376" w:type="dxa"/>
            <w:tcBorders>
              <w:top w:val="nil"/>
              <w:left w:val="nil"/>
              <w:bottom w:val="single" w:sz="4" w:space="0" w:color="auto"/>
              <w:right w:val="nil"/>
            </w:tcBorders>
            <w:shd w:val="clear" w:color="000000" w:fill="FFFFFF"/>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05</w:t>
            </w: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676" w:rsidRPr="00B37676" w:rsidRDefault="00B37676" w:rsidP="00B37676">
            <w:pPr>
              <w:spacing w:after="0" w:line="240" w:lineRule="auto"/>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Benefit in Kind</w:t>
            </w:r>
          </w:p>
        </w:tc>
        <w:tc>
          <w:tcPr>
            <w:tcW w:w="1642" w:type="dxa"/>
            <w:tcBorders>
              <w:top w:val="nil"/>
              <w:left w:val="nil"/>
              <w:bottom w:val="single" w:sz="4" w:space="0" w:color="auto"/>
              <w:right w:val="single" w:sz="4"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 xml:space="preserve">            358.1 </w:t>
            </w:r>
          </w:p>
        </w:tc>
        <w:tc>
          <w:tcPr>
            <w:tcW w:w="645" w:type="dxa"/>
            <w:tcBorders>
              <w:top w:val="nil"/>
              <w:left w:val="nil"/>
              <w:bottom w:val="single" w:sz="4" w:space="0" w:color="auto"/>
              <w:right w:val="single" w:sz="8"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0%</w:t>
            </w:r>
          </w:p>
        </w:tc>
      </w:tr>
      <w:tr w:rsidR="00B37676" w:rsidRPr="00B37676" w:rsidTr="00B37676">
        <w:trPr>
          <w:trHeight w:val="315"/>
        </w:trPr>
        <w:tc>
          <w:tcPr>
            <w:tcW w:w="220" w:type="dxa"/>
            <w:tcBorders>
              <w:top w:val="nil"/>
              <w:left w:val="single" w:sz="8" w:space="0" w:color="auto"/>
              <w:bottom w:val="nil"/>
              <w:right w:val="nil"/>
            </w:tcBorders>
            <w:shd w:val="clear" w:color="000000" w:fill="C2D69A"/>
            <w:noWrap/>
            <w:vAlign w:val="center"/>
            <w:hideMark/>
          </w:tcPr>
          <w:p w:rsidR="00B37676" w:rsidRPr="00B37676" w:rsidRDefault="00B37676" w:rsidP="00B37676">
            <w:pPr>
              <w:spacing w:after="0" w:line="240" w:lineRule="auto"/>
              <w:jc w:val="center"/>
              <w:rPr>
                <w:rFonts w:ascii="Cambria" w:eastAsia="Times New Roman" w:hAnsi="Cambria" w:cs="Times New Roman"/>
                <w:b/>
                <w:bCs/>
                <w:sz w:val="20"/>
                <w:szCs w:val="20"/>
              </w:rPr>
            </w:pPr>
            <w:r w:rsidRPr="00B37676">
              <w:rPr>
                <w:rFonts w:ascii="Cambria" w:eastAsia="Times New Roman" w:hAnsi="Cambria" w:cs="Times New Roman"/>
                <w:b/>
                <w:bCs/>
                <w:sz w:val="20"/>
                <w:szCs w:val="20"/>
              </w:rPr>
              <w:t> </w:t>
            </w:r>
          </w:p>
        </w:tc>
        <w:tc>
          <w:tcPr>
            <w:tcW w:w="376" w:type="dxa"/>
            <w:tcBorders>
              <w:top w:val="nil"/>
              <w:left w:val="single" w:sz="8" w:space="0" w:color="auto"/>
              <w:bottom w:val="single" w:sz="4" w:space="0" w:color="auto"/>
              <w:right w:val="single" w:sz="4"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 </w:t>
            </w:r>
          </w:p>
        </w:tc>
        <w:tc>
          <w:tcPr>
            <w:tcW w:w="3298" w:type="dxa"/>
            <w:gridSpan w:val="2"/>
            <w:tcBorders>
              <w:top w:val="nil"/>
              <w:left w:val="nil"/>
              <w:bottom w:val="single" w:sz="4" w:space="0" w:color="auto"/>
              <w:right w:val="single" w:sz="4" w:space="0" w:color="000000"/>
            </w:tcBorders>
            <w:shd w:val="clear" w:color="auto" w:fill="auto"/>
            <w:noWrap/>
            <w:vAlign w:val="center"/>
            <w:hideMark/>
          </w:tcPr>
          <w:p w:rsidR="00B37676" w:rsidRPr="00B37676" w:rsidRDefault="00B37676" w:rsidP="00B37676">
            <w:pPr>
              <w:spacing w:after="0" w:line="240" w:lineRule="auto"/>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Unallocated expenditures</w:t>
            </w:r>
          </w:p>
        </w:tc>
        <w:tc>
          <w:tcPr>
            <w:tcW w:w="1642" w:type="dxa"/>
            <w:tcBorders>
              <w:top w:val="nil"/>
              <w:left w:val="nil"/>
              <w:bottom w:val="single" w:sz="4" w:space="0" w:color="auto"/>
              <w:right w:val="single" w:sz="4"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 xml:space="preserve">    240,823.8 </w:t>
            </w:r>
          </w:p>
        </w:tc>
        <w:tc>
          <w:tcPr>
            <w:tcW w:w="645" w:type="dxa"/>
            <w:tcBorders>
              <w:top w:val="nil"/>
              <w:left w:val="nil"/>
              <w:bottom w:val="single" w:sz="4" w:space="0" w:color="auto"/>
              <w:right w:val="single" w:sz="8" w:space="0" w:color="auto"/>
            </w:tcBorders>
            <w:shd w:val="clear" w:color="auto" w:fill="auto"/>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29%</w:t>
            </w:r>
          </w:p>
        </w:tc>
      </w:tr>
      <w:tr w:rsidR="00B37676" w:rsidRPr="00B37676" w:rsidTr="00B37676">
        <w:trPr>
          <w:trHeight w:val="315"/>
        </w:trPr>
        <w:tc>
          <w:tcPr>
            <w:tcW w:w="220" w:type="dxa"/>
            <w:tcBorders>
              <w:top w:val="nil"/>
              <w:left w:val="single" w:sz="8" w:space="0" w:color="auto"/>
              <w:bottom w:val="single" w:sz="8" w:space="0" w:color="auto"/>
              <w:right w:val="nil"/>
            </w:tcBorders>
            <w:shd w:val="clear" w:color="000000" w:fill="C2D69A"/>
            <w:noWrap/>
            <w:vAlign w:val="center"/>
            <w:hideMark/>
          </w:tcPr>
          <w:p w:rsidR="00B37676" w:rsidRPr="00B37676" w:rsidRDefault="00B37676" w:rsidP="00B37676">
            <w:pPr>
              <w:spacing w:after="0" w:line="240" w:lineRule="auto"/>
              <w:jc w:val="center"/>
              <w:rPr>
                <w:rFonts w:ascii="Cambria" w:eastAsia="Times New Roman" w:hAnsi="Cambria" w:cs="Times New Roman"/>
                <w:b/>
                <w:bCs/>
                <w:sz w:val="20"/>
                <w:szCs w:val="20"/>
              </w:rPr>
            </w:pPr>
            <w:r w:rsidRPr="00B37676">
              <w:rPr>
                <w:rFonts w:ascii="Cambria" w:eastAsia="Times New Roman" w:hAnsi="Cambria" w:cs="Times New Roman"/>
                <w:b/>
                <w:bCs/>
                <w:sz w:val="20"/>
                <w:szCs w:val="20"/>
              </w:rPr>
              <w:t> </w:t>
            </w:r>
          </w:p>
        </w:tc>
        <w:tc>
          <w:tcPr>
            <w:tcW w:w="376" w:type="dxa"/>
            <w:tcBorders>
              <w:top w:val="nil"/>
              <w:left w:val="single" w:sz="8" w:space="0" w:color="auto"/>
              <w:bottom w:val="single" w:sz="8" w:space="0" w:color="auto"/>
              <w:right w:val="single" w:sz="4"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sz w:val="20"/>
                <w:szCs w:val="20"/>
              </w:rPr>
            </w:pPr>
            <w:r w:rsidRPr="00B37676">
              <w:rPr>
                <w:rFonts w:ascii="Cambria" w:eastAsia="Times New Roman" w:hAnsi="Cambria" w:cs="Times New Roman"/>
                <w:sz w:val="20"/>
                <w:szCs w:val="20"/>
              </w:rPr>
              <w:t>02</w:t>
            </w:r>
          </w:p>
        </w:tc>
        <w:tc>
          <w:tcPr>
            <w:tcW w:w="3298" w:type="dxa"/>
            <w:gridSpan w:val="2"/>
            <w:tcBorders>
              <w:top w:val="single" w:sz="4" w:space="0" w:color="auto"/>
              <w:left w:val="nil"/>
              <w:bottom w:val="single" w:sz="8" w:space="0" w:color="auto"/>
              <w:right w:val="single" w:sz="4" w:space="0" w:color="000000"/>
            </w:tcBorders>
            <w:shd w:val="clear" w:color="000000" w:fill="CCFF33"/>
            <w:noWrap/>
            <w:vAlign w:val="center"/>
            <w:hideMark/>
          </w:tcPr>
          <w:p w:rsidR="00B37676" w:rsidRPr="00B37676" w:rsidRDefault="00B37676" w:rsidP="00B37676">
            <w:pPr>
              <w:spacing w:after="0" w:line="240" w:lineRule="auto"/>
              <w:rPr>
                <w:rFonts w:ascii="Cambria" w:eastAsia="Times New Roman" w:hAnsi="Cambria" w:cs="Times New Roman"/>
                <w:sz w:val="20"/>
                <w:szCs w:val="20"/>
              </w:rPr>
            </w:pPr>
            <w:r w:rsidRPr="00B37676">
              <w:rPr>
                <w:rFonts w:ascii="Cambria" w:eastAsia="Times New Roman" w:hAnsi="Cambria" w:cs="Times New Roman"/>
                <w:sz w:val="20"/>
                <w:szCs w:val="20"/>
              </w:rPr>
              <w:t>Social Contributions</w:t>
            </w:r>
          </w:p>
        </w:tc>
        <w:tc>
          <w:tcPr>
            <w:tcW w:w="1642" w:type="dxa"/>
            <w:tcBorders>
              <w:top w:val="nil"/>
              <w:left w:val="nil"/>
              <w:bottom w:val="single" w:sz="8" w:space="0" w:color="auto"/>
              <w:right w:val="single" w:sz="4"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 xml:space="preserve">          49,587 </w:t>
            </w:r>
          </w:p>
        </w:tc>
        <w:tc>
          <w:tcPr>
            <w:tcW w:w="645" w:type="dxa"/>
            <w:tcBorders>
              <w:top w:val="nil"/>
              <w:left w:val="nil"/>
              <w:bottom w:val="single" w:sz="8" w:space="0" w:color="auto"/>
              <w:right w:val="single" w:sz="8" w:space="0" w:color="auto"/>
            </w:tcBorders>
            <w:shd w:val="clear" w:color="000000" w:fill="CCFF33"/>
            <w:noWrap/>
            <w:vAlign w:val="center"/>
            <w:hideMark/>
          </w:tcPr>
          <w:p w:rsidR="00B37676" w:rsidRPr="00B37676" w:rsidRDefault="00B37676" w:rsidP="00B37676">
            <w:pPr>
              <w:spacing w:after="0" w:line="240" w:lineRule="auto"/>
              <w:jc w:val="center"/>
              <w:rPr>
                <w:rFonts w:ascii="Cambria" w:eastAsia="Times New Roman" w:hAnsi="Cambria" w:cs="Times New Roman"/>
                <w:color w:val="000000"/>
                <w:sz w:val="20"/>
                <w:szCs w:val="20"/>
              </w:rPr>
            </w:pPr>
            <w:r w:rsidRPr="00B37676">
              <w:rPr>
                <w:rFonts w:ascii="Cambria" w:eastAsia="Times New Roman" w:hAnsi="Cambria" w:cs="Times New Roman"/>
                <w:color w:val="000000"/>
                <w:sz w:val="20"/>
                <w:szCs w:val="20"/>
              </w:rPr>
              <w:t> </w:t>
            </w:r>
          </w:p>
        </w:tc>
      </w:tr>
    </w:tbl>
    <w:p w:rsidR="001859FA" w:rsidRPr="00B37676" w:rsidRDefault="00B37676" w:rsidP="001859FA">
      <w:pPr>
        <w:spacing w:line="480" w:lineRule="auto"/>
        <w:rPr>
          <w:rFonts w:asciiTheme="majorHAnsi" w:hAnsiTheme="majorHAnsi" w:cstheme="majorBidi"/>
          <w:b/>
          <w:bCs/>
          <w:sz w:val="18"/>
          <w:szCs w:val="18"/>
        </w:rPr>
      </w:pPr>
      <w:r>
        <w:rPr>
          <w:rFonts w:asciiTheme="majorHAnsi" w:hAnsiTheme="majorHAnsi" w:cstheme="majorBidi"/>
          <w:b/>
          <w:bCs/>
          <w:sz w:val="18"/>
          <w:szCs w:val="18"/>
        </w:rPr>
        <w:t>*</w:t>
      </w:r>
      <w:r w:rsidRPr="00B37676">
        <w:rPr>
          <w:rFonts w:asciiTheme="majorHAnsi" w:hAnsiTheme="majorHAnsi" w:cstheme="majorBidi"/>
          <w:b/>
          <w:bCs/>
          <w:sz w:val="18"/>
          <w:szCs w:val="18"/>
        </w:rPr>
        <w:t>As of 2012 Fiscal Budget</w:t>
      </w:r>
    </w:p>
    <w:p w:rsidR="002D71BC" w:rsidRDefault="00B37676" w:rsidP="00A53A68">
      <w:pPr>
        <w:spacing w:line="480" w:lineRule="auto"/>
        <w:ind w:firstLine="709"/>
        <w:rPr>
          <w:rFonts w:asciiTheme="majorHAnsi" w:hAnsiTheme="majorHAnsi" w:cstheme="majorBidi"/>
          <w:sz w:val="24"/>
          <w:szCs w:val="24"/>
        </w:rPr>
      </w:pPr>
      <w:r>
        <w:rPr>
          <w:rFonts w:asciiTheme="majorHAnsi" w:hAnsiTheme="majorHAnsi" w:cstheme="majorBidi"/>
          <w:sz w:val="24"/>
          <w:szCs w:val="24"/>
        </w:rPr>
        <w:t>As stated earlier, c</w:t>
      </w:r>
      <w:r w:rsidR="002D71BC" w:rsidRPr="0072532F">
        <w:rPr>
          <w:rFonts w:asciiTheme="majorHAnsi" w:hAnsiTheme="majorHAnsi" w:cstheme="majorBidi"/>
          <w:sz w:val="24"/>
          <w:szCs w:val="24"/>
        </w:rPr>
        <w:t xml:space="preserve">entral Authority </w:t>
      </w:r>
      <w:r>
        <w:rPr>
          <w:rFonts w:asciiTheme="majorHAnsi" w:hAnsiTheme="majorHAnsi" w:cstheme="majorBidi"/>
          <w:sz w:val="24"/>
          <w:szCs w:val="24"/>
        </w:rPr>
        <w:t>assumes the responsibility to finance</w:t>
      </w:r>
      <w:r w:rsidRPr="0072532F">
        <w:rPr>
          <w:rFonts w:asciiTheme="majorHAnsi" w:hAnsiTheme="majorHAnsi" w:cstheme="majorBidi"/>
          <w:sz w:val="24"/>
          <w:szCs w:val="24"/>
        </w:rPr>
        <w:t xml:space="preserve"> </w:t>
      </w:r>
      <w:r>
        <w:rPr>
          <w:rFonts w:asciiTheme="majorHAnsi" w:hAnsiTheme="majorHAnsi" w:cstheme="majorBidi"/>
          <w:sz w:val="24"/>
          <w:szCs w:val="24"/>
        </w:rPr>
        <w:t xml:space="preserve">all central and local current expenditures in which it pays </w:t>
      </w:r>
      <w:r w:rsidR="002D71BC" w:rsidRPr="0072532F">
        <w:rPr>
          <w:rFonts w:asciiTheme="majorHAnsi" w:hAnsiTheme="majorHAnsi" w:cstheme="majorBidi"/>
          <w:sz w:val="24"/>
          <w:szCs w:val="24"/>
        </w:rPr>
        <w:t>directly 57% of the total amount for wages and salaries</w:t>
      </w:r>
      <w:r w:rsidR="00AE3914">
        <w:rPr>
          <w:rFonts w:asciiTheme="majorHAnsi" w:hAnsiTheme="majorHAnsi" w:cstheme="majorBidi"/>
          <w:sz w:val="24"/>
          <w:szCs w:val="24"/>
        </w:rPr>
        <w:t>, mainly to employees in Sana'a city</w:t>
      </w:r>
      <w:r w:rsidR="002D71BC" w:rsidRPr="0072532F">
        <w:rPr>
          <w:rFonts w:asciiTheme="majorHAnsi" w:hAnsiTheme="majorHAnsi" w:cstheme="majorBidi"/>
          <w:sz w:val="24"/>
          <w:szCs w:val="24"/>
        </w:rPr>
        <w:t xml:space="preserve"> while local aut</w:t>
      </w:r>
      <w:r>
        <w:rPr>
          <w:rFonts w:asciiTheme="majorHAnsi" w:hAnsiTheme="majorHAnsi" w:cstheme="majorBidi"/>
          <w:sz w:val="24"/>
          <w:szCs w:val="24"/>
        </w:rPr>
        <w:t xml:space="preserve">hority pays the remaining 43%  via a central current subsidy. </w:t>
      </w:r>
      <w:r w:rsidR="001209BC" w:rsidRPr="006F2C42">
        <w:rPr>
          <w:rFonts w:asciiTheme="majorHAnsi" w:hAnsiTheme="majorHAnsi" w:cstheme="majorBidi"/>
          <w:sz w:val="24"/>
          <w:szCs w:val="24"/>
        </w:rPr>
        <w:t xml:space="preserve">This also suggests that local authority has an estimated workforce of 516,000 employees </w:t>
      </w:r>
      <w:r w:rsidR="006F2C42">
        <w:rPr>
          <w:rFonts w:asciiTheme="majorHAnsi" w:hAnsiTheme="majorHAnsi" w:cstheme="majorBidi"/>
          <w:sz w:val="24"/>
          <w:szCs w:val="24"/>
        </w:rPr>
        <w:t>(mainly in education sector)</w:t>
      </w:r>
      <w:r w:rsidR="001209BC" w:rsidRPr="006F2C42">
        <w:rPr>
          <w:rFonts w:asciiTheme="majorHAnsi" w:hAnsiTheme="majorHAnsi" w:cstheme="majorBidi"/>
          <w:sz w:val="24"/>
          <w:szCs w:val="24"/>
        </w:rPr>
        <w:t>while central authority has 684,000 employees</w:t>
      </w:r>
      <w:r w:rsidR="00217B3F">
        <w:rPr>
          <w:rFonts w:asciiTheme="majorHAnsi" w:hAnsiTheme="majorHAnsi" w:cstheme="majorBidi"/>
          <w:sz w:val="24"/>
          <w:szCs w:val="24"/>
        </w:rPr>
        <w:t xml:space="preserve"> (mainly in the security and defense sectors</w:t>
      </w:r>
      <w:r w:rsidR="006F2C42">
        <w:rPr>
          <w:rFonts w:asciiTheme="majorHAnsi" w:hAnsiTheme="majorHAnsi" w:cstheme="majorBidi"/>
          <w:sz w:val="24"/>
          <w:szCs w:val="24"/>
        </w:rPr>
        <w:t>)</w:t>
      </w:r>
      <w:r w:rsidR="001209BC" w:rsidRPr="006F2C42">
        <w:rPr>
          <w:rFonts w:asciiTheme="majorHAnsi" w:hAnsiTheme="majorHAnsi" w:cstheme="majorBidi"/>
          <w:sz w:val="24"/>
          <w:szCs w:val="24"/>
        </w:rPr>
        <w:t>.</w:t>
      </w:r>
      <w:r w:rsidR="00F303B1">
        <w:rPr>
          <w:rFonts w:asciiTheme="majorHAnsi" w:hAnsiTheme="majorHAnsi" w:cstheme="majorBidi"/>
          <w:sz w:val="24"/>
          <w:szCs w:val="24"/>
        </w:rPr>
        <w:t xml:space="preserve"> </w:t>
      </w:r>
      <w:r w:rsidR="00B12554">
        <w:rPr>
          <w:rFonts w:asciiTheme="majorHAnsi" w:hAnsiTheme="majorHAnsi" w:cstheme="majorBidi"/>
          <w:sz w:val="24"/>
          <w:szCs w:val="24"/>
        </w:rPr>
        <w:t>According to the Local Authority Law of 2000, local employees are under the direction of local authorities' heads and subject to a minimal control and administration by the central authority.</w:t>
      </w:r>
      <w:r w:rsidR="00A53A68">
        <w:rPr>
          <w:rFonts w:asciiTheme="majorHAnsi" w:hAnsiTheme="majorHAnsi" w:cstheme="majorBidi"/>
          <w:sz w:val="24"/>
          <w:szCs w:val="24"/>
        </w:rPr>
        <w:t xml:space="preserve"> </w:t>
      </w:r>
      <w:r w:rsidR="00F303B1">
        <w:rPr>
          <w:rFonts w:asciiTheme="majorHAnsi" w:hAnsiTheme="majorHAnsi" w:cstheme="majorBidi"/>
          <w:sz w:val="24"/>
          <w:szCs w:val="24"/>
        </w:rPr>
        <w:t>Government employment starts with the MoCSI, which hires public servants</w:t>
      </w:r>
      <w:r w:rsidR="00A53A68" w:rsidRPr="00A53A68">
        <w:rPr>
          <w:rFonts w:asciiTheme="majorHAnsi" w:hAnsiTheme="majorHAnsi" w:cstheme="majorBidi"/>
          <w:sz w:val="24"/>
          <w:szCs w:val="24"/>
        </w:rPr>
        <w:t xml:space="preserve"> </w:t>
      </w:r>
      <w:r w:rsidR="00A53A68">
        <w:rPr>
          <w:rFonts w:asciiTheme="majorHAnsi" w:hAnsiTheme="majorHAnsi" w:cstheme="majorBidi"/>
          <w:sz w:val="24"/>
          <w:szCs w:val="24"/>
        </w:rPr>
        <w:t xml:space="preserve">based on the needs of central and local of government entities. If the new recruits work in the headquarter of a central department, they will be under the direction of the department's head but if they work in regional offices such as schools, universities, line ministries' regional offices, they will be under the direction of the local authorities' heads (governors). </w:t>
      </w:r>
      <w:r w:rsidR="00F303B1">
        <w:rPr>
          <w:rFonts w:asciiTheme="majorHAnsi" w:hAnsiTheme="majorHAnsi" w:cstheme="majorBidi"/>
          <w:sz w:val="24"/>
          <w:szCs w:val="24"/>
        </w:rPr>
        <w:t xml:space="preserve"> </w:t>
      </w:r>
    </w:p>
    <w:p w:rsidR="00983401" w:rsidRDefault="00983401" w:rsidP="006F2C42">
      <w:pPr>
        <w:spacing w:line="480" w:lineRule="auto"/>
        <w:ind w:firstLine="709"/>
        <w:rPr>
          <w:rFonts w:asciiTheme="majorHAnsi" w:hAnsiTheme="majorHAnsi" w:cstheme="majorBidi"/>
          <w:sz w:val="24"/>
          <w:szCs w:val="24"/>
        </w:rPr>
      </w:pPr>
    </w:p>
    <w:p w:rsidR="00983401" w:rsidRDefault="00983401" w:rsidP="006F2C42">
      <w:pPr>
        <w:spacing w:line="480" w:lineRule="auto"/>
        <w:ind w:firstLine="709"/>
        <w:rPr>
          <w:rFonts w:asciiTheme="majorHAnsi" w:hAnsiTheme="majorHAnsi" w:cstheme="majorBidi"/>
          <w:sz w:val="24"/>
          <w:szCs w:val="24"/>
        </w:rPr>
      </w:pPr>
    </w:p>
    <w:p w:rsidR="00983401" w:rsidRDefault="00A0370D" w:rsidP="006F2C42">
      <w:pPr>
        <w:spacing w:line="480" w:lineRule="auto"/>
        <w:ind w:firstLine="709"/>
        <w:rPr>
          <w:rFonts w:asciiTheme="majorHAnsi" w:hAnsiTheme="majorHAnsi" w:cstheme="majorBidi"/>
          <w:sz w:val="24"/>
          <w:szCs w:val="24"/>
        </w:rPr>
      </w:pPr>
      <w:r>
        <w:rPr>
          <w:rFonts w:asciiTheme="majorHAnsi" w:hAnsiTheme="majorHAnsi" w:cstheme="majorBidi"/>
          <w:sz w:val="24"/>
          <w:szCs w:val="24"/>
        </w:rPr>
        <w:t>The issue of ghost workers still persists in Yemen despites the recent reforms in the Civil Services and Insurance Ministry (</w:t>
      </w:r>
      <w:r w:rsidRPr="00413108">
        <w:rPr>
          <w:rFonts w:ascii="Times New Roman" w:hAnsi="Times New Roman" w:cs="Times New Roman"/>
        </w:rPr>
        <w:t>MoCSI</w:t>
      </w:r>
      <w:r>
        <w:rPr>
          <w:rFonts w:ascii="Times New Roman" w:hAnsi="Times New Roman" w:cs="Times New Roman"/>
        </w:rPr>
        <w:t>)</w:t>
      </w:r>
      <w:r>
        <w:rPr>
          <w:rFonts w:asciiTheme="majorHAnsi" w:hAnsiTheme="majorHAnsi" w:cstheme="majorBidi"/>
          <w:sz w:val="24"/>
          <w:szCs w:val="24"/>
        </w:rPr>
        <w:t xml:space="preserve">. The partial compliance of the Ministry of Defense and the Ministry of the Interior to the "Finger Print" scheme, which has been proposed by the </w:t>
      </w:r>
      <w:r w:rsidRPr="00413108">
        <w:rPr>
          <w:rFonts w:ascii="Times New Roman" w:hAnsi="Times New Roman" w:cs="Times New Roman"/>
        </w:rPr>
        <w:t>MoCSI</w:t>
      </w:r>
      <w:r>
        <w:rPr>
          <w:rFonts w:asciiTheme="majorHAnsi" w:hAnsiTheme="majorHAnsi" w:cstheme="majorBidi"/>
          <w:sz w:val="24"/>
          <w:szCs w:val="24"/>
        </w:rPr>
        <w:t xml:space="preserve"> is considered the major reason why the problem is not being successfully addressed.  There has been no data or reports about the size of ghost workers in the recent years.</w:t>
      </w:r>
      <w:r w:rsidRPr="00217B3F">
        <w:rPr>
          <w:rFonts w:asciiTheme="majorHAnsi" w:hAnsiTheme="majorHAnsi" w:cstheme="majorBidi"/>
          <w:sz w:val="24"/>
          <w:szCs w:val="24"/>
          <w:lang w:val="en-GB" w:bidi="ar-YE"/>
        </w:rPr>
        <w:t xml:space="preserve">The </w:t>
      </w:r>
      <w:r w:rsidRPr="00217B3F">
        <w:rPr>
          <w:rFonts w:ascii="Times New Roman" w:hAnsi="Times New Roman" w:cs="Times New Roman"/>
          <w:sz w:val="24"/>
          <w:szCs w:val="24"/>
        </w:rPr>
        <w:t>MoCSI's Finger Print ini</w:t>
      </w:r>
      <w:r>
        <w:rPr>
          <w:rFonts w:ascii="Times New Roman" w:hAnsi="Times New Roman" w:cs="Times New Roman"/>
          <w:sz w:val="24"/>
          <w:szCs w:val="24"/>
        </w:rPr>
        <w:t>ti</w:t>
      </w:r>
      <w:r w:rsidRPr="00217B3F">
        <w:rPr>
          <w:rFonts w:ascii="Times New Roman" w:hAnsi="Times New Roman" w:cs="Times New Roman"/>
          <w:sz w:val="24"/>
          <w:szCs w:val="24"/>
        </w:rPr>
        <w:t xml:space="preserve">ative has </w:t>
      </w:r>
      <w:r>
        <w:rPr>
          <w:rFonts w:ascii="Times New Roman" w:hAnsi="Times New Roman" w:cs="Times New Roman"/>
          <w:sz w:val="24"/>
          <w:szCs w:val="24"/>
        </w:rPr>
        <w:t>discovered</w:t>
      </w:r>
      <w:r w:rsidRPr="00217B3F">
        <w:rPr>
          <w:rFonts w:ascii="Times New Roman" w:hAnsi="Times New Roman" w:cs="Times New Roman"/>
          <w:sz w:val="24"/>
          <w:szCs w:val="24"/>
        </w:rPr>
        <w:t xml:space="preserve"> over 40,000 cases of job duplication in the education sector alone and </w:t>
      </w:r>
      <w:r>
        <w:rPr>
          <w:rFonts w:ascii="Times New Roman" w:hAnsi="Times New Roman" w:cs="Times New Roman"/>
          <w:sz w:val="24"/>
          <w:szCs w:val="24"/>
        </w:rPr>
        <w:t>been able to reduce job duplication significantly in other sectors.</w:t>
      </w:r>
    </w:p>
    <w:p w:rsidR="001209BC" w:rsidRDefault="001209BC" w:rsidP="00AD3EB7">
      <w:pPr>
        <w:spacing w:line="480" w:lineRule="auto"/>
        <w:rPr>
          <w:rFonts w:asciiTheme="majorHAnsi" w:hAnsiTheme="majorHAnsi" w:cstheme="majorBidi"/>
          <w:sz w:val="24"/>
          <w:szCs w:val="24"/>
        </w:rPr>
      </w:pPr>
      <w:r w:rsidRPr="0072532F">
        <w:rPr>
          <w:rFonts w:asciiTheme="majorHAnsi" w:hAnsiTheme="majorHAnsi" w:cstheme="majorBidi"/>
          <w:b/>
          <w:bCs/>
          <w:sz w:val="24"/>
          <w:szCs w:val="24"/>
        </w:rPr>
        <w:t>II) Use of Goods and Services</w:t>
      </w:r>
      <w:r w:rsidR="00983401">
        <w:rPr>
          <w:rFonts w:asciiTheme="majorHAnsi" w:hAnsiTheme="majorHAnsi" w:cstheme="majorBidi"/>
          <w:b/>
          <w:bCs/>
          <w:sz w:val="24"/>
          <w:szCs w:val="24"/>
        </w:rPr>
        <w:t xml:space="preserve"> Chapter</w:t>
      </w:r>
      <w:r w:rsidRPr="0072532F">
        <w:rPr>
          <w:rFonts w:asciiTheme="majorHAnsi" w:hAnsiTheme="majorHAnsi" w:cstheme="majorBidi"/>
          <w:b/>
          <w:bCs/>
          <w:sz w:val="24"/>
          <w:szCs w:val="24"/>
        </w:rPr>
        <w:t xml:space="preserve">: </w:t>
      </w:r>
      <w:r w:rsidRPr="0072532F">
        <w:rPr>
          <w:rFonts w:asciiTheme="majorHAnsi" w:hAnsiTheme="majorHAnsi" w:cstheme="majorBidi"/>
          <w:sz w:val="24"/>
          <w:szCs w:val="24"/>
        </w:rPr>
        <w:t xml:space="preserve">includes five sub-chapters. The significant sub-chapters as shown in Table </w:t>
      </w:r>
      <w:r w:rsidR="00AD3EB7">
        <w:rPr>
          <w:rFonts w:asciiTheme="majorHAnsi" w:hAnsiTheme="majorHAnsi" w:cstheme="majorBidi"/>
          <w:sz w:val="24"/>
          <w:szCs w:val="24"/>
        </w:rPr>
        <w:t>5</w:t>
      </w:r>
      <w:r w:rsidRPr="0072532F">
        <w:rPr>
          <w:rFonts w:asciiTheme="majorHAnsi" w:hAnsiTheme="majorHAnsi" w:cstheme="majorBidi"/>
          <w:sz w:val="24"/>
          <w:szCs w:val="24"/>
        </w:rPr>
        <w:t xml:space="preserve"> are </w:t>
      </w:r>
      <w:r w:rsidRPr="0072532F">
        <w:rPr>
          <w:rFonts w:asciiTheme="majorHAnsi" w:hAnsiTheme="majorHAnsi" w:cstheme="majorBidi"/>
          <w:i/>
          <w:iCs/>
          <w:sz w:val="24"/>
          <w:szCs w:val="24"/>
        </w:rPr>
        <w:t>Goods and Services</w:t>
      </w:r>
      <w:r w:rsidRPr="0072532F">
        <w:rPr>
          <w:rFonts w:asciiTheme="majorHAnsi" w:hAnsiTheme="majorHAnsi" w:cstheme="majorBidi"/>
          <w:sz w:val="24"/>
          <w:szCs w:val="24"/>
        </w:rPr>
        <w:t xml:space="preserve"> and </w:t>
      </w:r>
      <w:r w:rsidRPr="0072532F">
        <w:rPr>
          <w:rFonts w:asciiTheme="majorHAnsi" w:hAnsiTheme="majorHAnsi" w:cstheme="majorBidi"/>
          <w:i/>
          <w:iCs/>
          <w:sz w:val="24"/>
          <w:szCs w:val="24"/>
        </w:rPr>
        <w:t>Interest Payments</w:t>
      </w:r>
      <w:r w:rsidRPr="0072532F">
        <w:rPr>
          <w:rFonts w:asciiTheme="majorHAnsi" w:hAnsiTheme="majorHAnsi" w:cstheme="majorBidi"/>
          <w:sz w:val="24"/>
          <w:szCs w:val="24"/>
        </w:rPr>
        <w:t xml:space="preserve"> which both compose 92% of </w:t>
      </w:r>
      <w:r w:rsidR="00AD56BA" w:rsidRPr="0072532F">
        <w:rPr>
          <w:rFonts w:asciiTheme="majorHAnsi" w:hAnsiTheme="majorHAnsi" w:cstheme="majorBidi"/>
          <w:sz w:val="24"/>
          <w:szCs w:val="24"/>
        </w:rPr>
        <w:t>t</w:t>
      </w:r>
      <w:r w:rsidRPr="0072532F">
        <w:rPr>
          <w:rFonts w:asciiTheme="majorHAnsi" w:hAnsiTheme="majorHAnsi" w:cstheme="majorBidi"/>
          <w:sz w:val="24"/>
          <w:szCs w:val="24"/>
        </w:rPr>
        <w:t>otal Use of Goods and Services</w:t>
      </w:r>
      <w:r w:rsidR="00AD56BA" w:rsidRPr="0072532F">
        <w:rPr>
          <w:rFonts w:asciiTheme="majorHAnsi" w:hAnsiTheme="majorHAnsi" w:cstheme="majorBidi"/>
          <w:sz w:val="24"/>
          <w:szCs w:val="24"/>
        </w:rPr>
        <w:t>. Local au</w:t>
      </w:r>
      <w:r w:rsidR="007D58FC">
        <w:rPr>
          <w:rFonts w:asciiTheme="majorHAnsi" w:hAnsiTheme="majorHAnsi" w:cstheme="majorBidi"/>
          <w:sz w:val="24"/>
          <w:szCs w:val="24"/>
        </w:rPr>
        <w:t xml:space="preserve">thority's revenues seem to fund </w:t>
      </w:r>
      <w:r w:rsidR="00AD56BA" w:rsidRPr="0072532F">
        <w:rPr>
          <w:rFonts w:asciiTheme="majorHAnsi" w:hAnsiTheme="majorHAnsi" w:cstheme="majorBidi"/>
          <w:sz w:val="24"/>
          <w:szCs w:val="24"/>
        </w:rPr>
        <w:t>6.43% of total Use of Goods and Services,</w:t>
      </w:r>
      <w:r w:rsidR="007D58FC">
        <w:rPr>
          <w:rFonts w:asciiTheme="majorHAnsi" w:hAnsiTheme="majorHAnsi" w:cstheme="majorBidi"/>
          <w:sz w:val="24"/>
          <w:szCs w:val="24"/>
        </w:rPr>
        <w:t xml:space="preserve"> mainly for Goods and Services while c</w:t>
      </w:r>
      <w:r w:rsidR="00AD56BA" w:rsidRPr="0072532F">
        <w:rPr>
          <w:rFonts w:asciiTheme="majorHAnsi" w:hAnsiTheme="majorHAnsi" w:cstheme="majorBidi"/>
          <w:sz w:val="24"/>
          <w:szCs w:val="24"/>
        </w:rPr>
        <w:t xml:space="preserve">entral </w:t>
      </w:r>
      <w:r w:rsidR="007D58FC">
        <w:rPr>
          <w:rFonts w:asciiTheme="majorHAnsi" w:hAnsiTheme="majorHAnsi" w:cstheme="majorBidi"/>
          <w:sz w:val="24"/>
          <w:szCs w:val="24"/>
        </w:rPr>
        <w:t>a</w:t>
      </w:r>
      <w:r w:rsidR="007D58FC" w:rsidRPr="0072532F">
        <w:rPr>
          <w:rFonts w:asciiTheme="majorHAnsi" w:hAnsiTheme="majorHAnsi" w:cstheme="majorBidi"/>
          <w:sz w:val="24"/>
          <w:szCs w:val="24"/>
        </w:rPr>
        <w:t>uthority</w:t>
      </w:r>
      <w:r w:rsidR="00AD56BA" w:rsidRPr="0072532F">
        <w:rPr>
          <w:rFonts w:asciiTheme="majorHAnsi" w:hAnsiTheme="majorHAnsi" w:cstheme="majorBidi"/>
          <w:sz w:val="24"/>
          <w:szCs w:val="24"/>
        </w:rPr>
        <w:t xml:space="preserve"> funds </w:t>
      </w:r>
      <w:r w:rsidR="007D58FC">
        <w:rPr>
          <w:rFonts w:asciiTheme="majorHAnsi" w:hAnsiTheme="majorHAnsi" w:cstheme="majorBidi"/>
          <w:sz w:val="24"/>
          <w:szCs w:val="24"/>
        </w:rPr>
        <w:t xml:space="preserve">the remaining </w:t>
      </w:r>
      <w:r w:rsidR="00AD56BA" w:rsidRPr="0072532F">
        <w:rPr>
          <w:rFonts w:asciiTheme="majorHAnsi" w:hAnsiTheme="majorHAnsi" w:cstheme="majorBidi"/>
          <w:sz w:val="24"/>
          <w:szCs w:val="24"/>
        </w:rPr>
        <w:t xml:space="preserve">93.57% of total Use of Goods and Services. The significant finding in this budget chapter is the astonishing growth rate of Interest Payments (Sub-chapter). </w:t>
      </w:r>
    </w:p>
    <w:tbl>
      <w:tblPr>
        <w:tblW w:w="7092" w:type="dxa"/>
        <w:tblInd w:w="108" w:type="dxa"/>
        <w:tblLook w:val="04A0"/>
      </w:tblPr>
      <w:tblGrid>
        <w:gridCol w:w="3887"/>
        <w:gridCol w:w="1015"/>
        <w:gridCol w:w="1214"/>
        <w:gridCol w:w="976"/>
      </w:tblGrid>
      <w:tr w:rsidR="007D58FC" w:rsidRPr="007D58FC" w:rsidTr="007D58FC">
        <w:trPr>
          <w:trHeight w:val="315"/>
        </w:trPr>
        <w:tc>
          <w:tcPr>
            <w:tcW w:w="6116" w:type="dxa"/>
            <w:gridSpan w:val="3"/>
            <w:tcBorders>
              <w:top w:val="nil"/>
              <w:left w:val="nil"/>
              <w:bottom w:val="nil"/>
              <w:right w:val="nil"/>
            </w:tcBorders>
            <w:shd w:val="clear" w:color="auto" w:fill="auto"/>
            <w:noWrap/>
            <w:vAlign w:val="bottom"/>
            <w:hideMark/>
          </w:tcPr>
          <w:p w:rsidR="007D58FC" w:rsidRPr="007D58FC" w:rsidRDefault="007D58FC" w:rsidP="007D58FC">
            <w:pPr>
              <w:spacing w:after="0" w:line="240" w:lineRule="auto"/>
              <w:jc w:val="center"/>
              <w:rPr>
                <w:rFonts w:ascii="Calibri" w:eastAsia="Times New Roman" w:hAnsi="Calibri" w:cs="Times New Roman"/>
                <w:b/>
                <w:bCs/>
                <w:color w:val="000000"/>
              </w:rPr>
            </w:pPr>
            <w:r w:rsidRPr="007D58FC">
              <w:rPr>
                <w:rFonts w:ascii="Calibri" w:eastAsia="Times New Roman" w:hAnsi="Calibri" w:cs="Times New Roman"/>
                <w:b/>
                <w:bCs/>
                <w:color w:val="000000"/>
              </w:rPr>
              <w:t xml:space="preserve">Percentage of </w:t>
            </w:r>
            <w:r>
              <w:rPr>
                <w:rFonts w:ascii="Calibri" w:eastAsia="Times New Roman" w:hAnsi="Calibri" w:cs="Times New Roman"/>
                <w:b/>
                <w:bCs/>
                <w:color w:val="000000"/>
              </w:rPr>
              <w:t>Local and Central Authorities</w:t>
            </w:r>
            <w:r w:rsidRPr="007D58FC">
              <w:rPr>
                <w:rFonts w:ascii="Calibri" w:eastAsia="Times New Roman" w:hAnsi="Calibri" w:cs="Times New Roman"/>
                <w:b/>
                <w:bCs/>
                <w:color w:val="000000"/>
              </w:rPr>
              <w:t xml:space="preserve"> (5-Year Averages)</w:t>
            </w:r>
          </w:p>
        </w:tc>
        <w:tc>
          <w:tcPr>
            <w:tcW w:w="976" w:type="dxa"/>
            <w:tcBorders>
              <w:top w:val="nil"/>
              <w:left w:val="nil"/>
              <w:bottom w:val="nil"/>
              <w:right w:val="nil"/>
            </w:tcBorders>
            <w:shd w:val="clear" w:color="auto" w:fill="auto"/>
            <w:noWrap/>
            <w:vAlign w:val="bottom"/>
            <w:hideMark/>
          </w:tcPr>
          <w:p w:rsidR="007D58FC" w:rsidRPr="007D58FC" w:rsidRDefault="007D58FC" w:rsidP="007D58FC">
            <w:pPr>
              <w:spacing w:after="0" w:line="240" w:lineRule="auto"/>
              <w:rPr>
                <w:rFonts w:ascii="Calibri" w:eastAsia="Times New Roman" w:hAnsi="Calibri" w:cs="Times New Roman"/>
                <w:color w:val="000000"/>
              </w:rPr>
            </w:pPr>
          </w:p>
        </w:tc>
      </w:tr>
      <w:tr w:rsidR="007D58FC" w:rsidRPr="007D58FC" w:rsidTr="007D58FC">
        <w:trPr>
          <w:trHeight w:val="315"/>
        </w:trPr>
        <w:tc>
          <w:tcPr>
            <w:tcW w:w="388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D58FC" w:rsidRPr="007D58FC" w:rsidRDefault="007D58FC" w:rsidP="007D58FC">
            <w:pPr>
              <w:spacing w:after="0" w:line="240" w:lineRule="auto"/>
              <w:jc w:val="center"/>
              <w:rPr>
                <w:rFonts w:ascii="Calibri" w:eastAsia="Times New Roman" w:hAnsi="Calibri" w:cs="Times New Roman"/>
                <w:b/>
                <w:bCs/>
                <w:color w:val="000000"/>
              </w:rPr>
            </w:pPr>
            <w:r w:rsidRPr="007D58FC">
              <w:rPr>
                <w:rFonts w:ascii="Calibri" w:eastAsia="Times New Roman" w:hAnsi="Calibri" w:cs="Times New Roman"/>
                <w:b/>
                <w:bCs/>
                <w:color w:val="000000"/>
              </w:rPr>
              <w:t> </w:t>
            </w: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rsidR="007D58FC" w:rsidRPr="007D58FC" w:rsidRDefault="007D58FC" w:rsidP="007D58FC">
            <w:pPr>
              <w:spacing w:after="0" w:line="240" w:lineRule="auto"/>
              <w:jc w:val="center"/>
              <w:rPr>
                <w:rFonts w:ascii="Calibri" w:eastAsia="Times New Roman" w:hAnsi="Calibri" w:cs="Times New Roman"/>
                <w:b/>
                <w:bCs/>
                <w:color w:val="000000"/>
              </w:rPr>
            </w:pPr>
            <w:r w:rsidRPr="007D58FC">
              <w:rPr>
                <w:rFonts w:ascii="Calibri" w:eastAsia="Times New Roman" w:hAnsi="Calibri" w:cs="Times New Roman"/>
                <w:b/>
                <w:bCs/>
                <w:color w:val="000000"/>
              </w:rPr>
              <w:t>Local</w:t>
            </w:r>
          </w:p>
        </w:tc>
        <w:tc>
          <w:tcPr>
            <w:tcW w:w="1214" w:type="dxa"/>
            <w:tcBorders>
              <w:top w:val="single" w:sz="8" w:space="0" w:color="auto"/>
              <w:left w:val="nil"/>
              <w:bottom w:val="single" w:sz="8" w:space="0" w:color="auto"/>
              <w:right w:val="single" w:sz="4" w:space="0" w:color="auto"/>
            </w:tcBorders>
            <w:shd w:val="clear" w:color="auto" w:fill="auto"/>
            <w:noWrap/>
            <w:vAlign w:val="center"/>
            <w:hideMark/>
          </w:tcPr>
          <w:p w:rsidR="007D58FC" w:rsidRPr="007D58FC" w:rsidRDefault="007D58FC" w:rsidP="007D58FC">
            <w:pPr>
              <w:spacing w:after="0" w:line="240" w:lineRule="auto"/>
              <w:jc w:val="center"/>
              <w:rPr>
                <w:rFonts w:ascii="Calibri" w:eastAsia="Times New Roman" w:hAnsi="Calibri" w:cs="Times New Roman"/>
                <w:b/>
                <w:bCs/>
                <w:color w:val="000000"/>
              </w:rPr>
            </w:pPr>
            <w:r w:rsidRPr="007D58FC">
              <w:rPr>
                <w:rFonts w:ascii="Calibri" w:eastAsia="Times New Roman" w:hAnsi="Calibri" w:cs="Times New Roman"/>
                <w:b/>
                <w:bCs/>
                <w:color w:val="000000"/>
              </w:rPr>
              <w:t>Central</w:t>
            </w:r>
          </w:p>
        </w:tc>
        <w:tc>
          <w:tcPr>
            <w:tcW w:w="976" w:type="dxa"/>
            <w:tcBorders>
              <w:top w:val="single" w:sz="8" w:space="0" w:color="auto"/>
              <w:left w:val="nil"/>
              <w:bottom w:val="single" w:sz="8" w:space="0" w:color="auto"/>
              <w:right w:val="single" w:sz="8" w:space="0" w:color="auto"/>
            </w:tcBorders>
            <w:shd w:val="clear" w:color="auto" w:fill="auto"/>
            <w:noWrap/>
            <w:vAlign w:val="center"/>
            <w:hideMark/>
          </w:tcPr>
          <w:p w:rsidR="007D58FC" w:rsidRPr="007D58FC" w:rsidRDefault="007D58FC" w:rsidP="007D58FC">
            <w:pPr>
              <w:spacing w:after="0" w:line="240" w:lineRule="auto"/>
              <w:jc w:val="center"/>
              <w:rPr>
                <w:rFonts w:ascii="Calibri" w:eastAsia="Times New Roman" w:hAnsi="Calibri" w:cs="Times New Roman"/>
                <w:b/>
                <w:bCs/>
                <w:color w:val="000000"/>
              </w:rPr>
            </w:pPr>
            <w:r w:rsidRPr="007D58FC">
              <w:rPr>
                <w:rFonts w:ascii="Calibri" w:eastAsia="Times New Roman" w:hAnsi="Calibri" w:cs="Times New Roman"/>
                <w:b/>
                <w:bCs/>
                <w:color w:val="000000"/>
              </w:rPr>
              <w:t>Total</w:t>
            </w:r>
          </w:p>
        </w:tc>
      </w:tr>
      <w:tr w:rsidR="007D58FC" w:rsidRPr="007D58FC" w:rsidTr="007D58FC">
        <w:trPr>
          <w:trHeight w:val="315"/>
        </w:trPr>
        <w:tc>
          <w:tcPr>
            <w:tcW w:w="3887" w:type="dxa"/>
            <w:tcBorders>
              <w:top w:val="nil"/>
              <w:left w:val="single" w:sz="8" w:space="0" w:color="auto"/>
              <w:bottom w:val="single" w:sz="8" w:space="0" w:color="auto"/>
              <w:right w:val="single" w:sz="8" w:space="0" w:color="auto"/>
            </w:tcBorders>
            <w:shd w:val="clear" w:color="000000" w:fill="D7E4BC"/>
            <w:vAlign w:val="center"/>
            <w:hideMark/>
          </w:tcPr>
          <w:p w:rsidR="007D58FC" w:rsidRPr="007D58FC" w:rsidRDefault="007D58FC" w:rsidP="007D58FC">
            <w:pPr>
              <w:spacing w:after="0" w:line="240" w:lineRule="auto"/>
              <w:rPr>
                <w:rFonts w:ascii="Calibri" w:eastAsia="Times New Roman" w:hAnsi="Calibri" w:cs="Times New Roman"/>
                <w:b/>
                <w:bCs/>
                <w:color w:val="000000"/>
              </w:rPr>
            </w:pPr>
            <w:r w:rsidRPr="007D58FC">
              <w:rPr>
                <w:rFonts w:ascii="Calibri" w:eastAsia="Times New Roman" w:hAnsi="Calibri" w:cs="Times New Roman"/>
                <w:b/>
                <w:bCs/>
                <w:color w:val="000000"/>
              </w:rPr>
              <w:t>Use of goods and services</w:t>
            </w:r>
          </w:p>
        </w:tc>
        <w:tc>
          <w:tcPr>
            <w:tcW w:w="1015" w:type="dxa"/>
            <w:tcBorders>
              <w:top w:val="nil"/>
              <w:left w:val="nil"/>
              <w:bottom w:val="single" w:sz="8" w:space="0" w:color="auto"/>
              <w:right w:val="single" w:sz="4" w:space="0" w:color="auto"/>
            </w:tcBorders>
            <w:shd w:val="clear" w:color="auto" w:fill="auto"/>
            <w:noWrap/>
            <w:vAlign w:val="center"/>
            <w:hideMark/>
          </w:tcPr>
          <w:p w:rsidR="007D58FC" w:rsidRPr="007D58FC" w:rsidRDefault="007D58FC" w:rsidP="007D58FC">
            <w:pPr>
              <w:spacing w:after="0" w:line="240" w:lineRule="auto"/>
              <w:jc w:val="center"/>
              <w:rPr>
                <w:rFonts w:ascii="Calibri" w:eastAsia="Times New Roman" w:hAnsi="Calibri" w:cs="Times New Roman"/>
                <w:color w:val="000000"/>
              </w:rPr>
            </w:pPr>
            <w:r w:rsidRPr="007D58FC">
              <w:rPr>
                <w:rFonts w:ascii="Calibri" w:eastAsia="Times New Roman" w:hAnsi="Calibri" w:cs="Times New Roman"/>
                <w:color w:val="000000"/>
              </w:rPr>
              <w:t>6.43%</w:t>
            </w:r>
          </w:p>
        </w:tc>
        <w:tc>
          <w:tcPr>
            <w:tcW w:w="1214" w:type="dxa"/>
            <w:tcBorders>
              <w:top w:val="nil"/>
              <w:left w:val="nil"/>
              <w:bottom w:val="single" w:sz="8" w:space="0" w:color="auto"/>
              <w:right w:val="single" w:sz="4" w:space="0" w:color="auto"/>
            </w:tcBorders>
            <w:shd w:val="clear" w:color="auto" w:fill="auto"/>
            <w:noWrap/>
            <w:vAlign w:val="center"/>
            <w:hideMark/>
          </w:tcPr>
          <w:p w:rsidR="007D58FC" w:rsidRPr="007D58FC" w:rsidRDefault="007D58FC" w:rsidP="007D58FC">
            <w:pPr>
              <w:spacing w:after="0" w:line="240" w:lineRule="auto"/>
              <w:jc w:val="center"/>
              <w:rPr>
                <w:rFonts w:ascii="Calibri" w:eastAsia="Times New Roman" w:hAnsi="Calibri" w:cs="Times New Roman"/>
                <w:color w:val="000000"/>
              </w:rPr>
            </w:pPr>
            <w:r w:rsidRPr="007D58FC">
              <w:rPr>
                <w:rFonts w:ascii="Calibri" w:eastAsia="Times New Roman" w:hAnsi="Calibri" w:cs="Times New Roman"/>
                <w:color w:val="000000"/>
              </w:rPr>
              <w:t>93.57%</w:t>
            </w:r>
          </w:p>
        </w:tc>
        <w:tc>
          <w:tcPr>
            <w:tcW w:w="976" w:type="dxa"/>
            <w:tcBorders>
              <w:top w:val="nil"/>
              <w:left w:val="nil"/>
              <w:bottom w:val="single" w:sz="8" w:space="0" w:color="auto"/>
              <w:right w:val="single" w:sz="8" w:space="0" w:color="auto"/>
            </w:tcBorders>
            <w:shd w:val="clear" w:color="auto" w:fill="auto"/>
            <w:noWrap/>
            <w:vAlign w:val="center"/>
            <w:hideMark/>
          </w:tcPr>
          <w:p w:rsidR="007D58FC" w:rsidRPr="007D58FC" w:rsidRDefault="007D58FC" w:rsidP="007D58FC">
            <w:pPr>
              <w:spacing w:after="0" w:line="240" w:lineRule="auto"/>
              <w:jc w:val="center"/>
              <w:rPr>
                <w:rFonts w:ascii="Calibri" w:eastAsia="Times New Roman" w:hAnsi="Calibri" w:cs="Times New Roman"/>
                <w:color w:val="000000"/>
              </w:rPr>
            </w:pPr>
            <w:r w:rsidRPr="007D58FC">
              <w:rPr>
                <w:rFonts w:ascii="Calibri" w:eastAsia="Times New Roman" w:hAnsi="Calibri" w:cs="Times New Roman"/>
                <w:color w:val="000000"/>
              </w:rPr>
              <w:t>100%</w:t>
            </w:r>
          </w:p>
        </w:tc>
      </w:tr>
    </w:tbl>
    <w:p w:rsidR="007D58FC" w:rsidRDefault="007D58FC" w:rsidP="001209BC">
      <w:pPr>
        <w:rPr>
          <w:rFonts w:asciiTheme="majorHAnsi" w:hAnsiTheme="majorHAnsi" w:cstheme="majorBidi"/>
        </w:rPr>
      </w:pPr>
    </w:p>
    <w:p w:rsidR="001209BC" w:rsidRPr="0072532F" w:rsidRDefault="001209BC" w:rsidP="00AD3EB7">
      <w:pPr>
        <w:rPr>
          <w:rFonts w:asciiTheme="majorHAnsi" w:hAnsiTheme="majorHAnsi" w:cstheme="majorBidi"/>
        </w:rPr>
      </w:pPr>
      <w:r w:rsidRPr="0072532F">
        <w:rPr>
          <w:rFonts w:asciiTheme="majorHAnsi" w:hAnsiTheme="majorHAnsi" w:cstheme="majorBidi"/>
        </w:rPr>
        <w:t xml:space="preserve">Table </w:t>
      </w:r>
      <w:r w:rsidR="00AD3EB7">
        <w:rPr>
          <w:rFonts w:asciiTheme="majorHAnsi" w:hAnsiTheme="majorHAnsi" w:cstheme="majorBidi"/>
        </w:rPr>
        <w:t>5</w:t>
      </w:r>
      <w:r w:rsidRPr="0072532F">
        <w:rPr>
          <w:rFonts w:asciiTheme="majorHAnsi" w:hAnsiTheme="majorHAnsi" w:cstheme="majorBidi"/>
        </w:rPr>
        <w:t>:</w:t>
      </w:r>
    </w:p>
    <w:tbl>
      <w:tblPr>
        <w:tblpPr w:leftFromText="180" w:rightFromText="180" w:vertAnchor="text" w:horzAnchor="margin" w:tblpY="27"/>
        <w:tblW w:w="9464" w:type="dxa"/>
        <w:tblLook w:val="04A0"/>
      </w:tblPr>
      <w:tblGrid>
        <w:gridCol w:w="2518"/>
        <w:gridCol w:w="955"/>
        <w:gridCol w:w="956"/>
        <w:gridCol w:w="956"/>
        <w:gridCol w:w="956"/>
        <w:gridCol w:w="956"/>
        <w:gridCol w:w="956"/>
        <w:gridCol w:w="1211"/>
      </w:tblGrid>
      <w:tr w:rsidR="001209BC" w:rsidRPr="0072532F" w:rsidTr="003E2194">
        <w:trPr>
          <w:trHeight w:val="300"/>
        </w:trPr>
        <w:tc>
          <w:tcPr>
            <w:tcW w:w="25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t> </w:t>
            </w:r>
          </w:p>
        </w:tc>
        <w:tc>
          <w:tcPr>
            <w:tcW w:w="955" w:type="dxa"/>
            <w:tcBorders>
              <w:top w:val="single" w:sz="8" w:space="0" w:color="auto"/>
              <w:left w:val="nil"/>
              <w:bottom w:val="single" w:sz="4"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2007</w:t>
            </w:r>
          </w:p>
        </w:tc>
        <w:tc>
          <w:tcPr>
            <w:tcW w:w="956" w:type="dxa"/>
            <w:tcBorders>
              <w:top w:val="single" w:sz="8" w:space="0" w:color="auto"/>
              <w:left w:val="nil"/>
              <w:bottom w:val="single" w:sz="4"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2008</w:t>
            </w:r>
          </w:p>
        </w:tc>
        <w:tc>
          <w:tcPr>
            <w:tcW w:w="956" w:type="dxa"/>
            <w:tcBorders>
              <w:top w:val="single" w:sz="8" w:space="0" w:color="auto"/>
              <w:left w:val="nil"/>
              <w:bottom w:val="single" w:sz="4"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2009</w:t>
            </w:r>
          </w:p>
        </w:tc>
        <w:tc>
          <w:tcPr>
            <w:tcW w:w="956" w:type="dxa"/>
            <w:tcBorders>
              <w:top w:val="single" w:sz="8" w:space="0" w:color="auto"/>
              <w:left w:val="nil"/>
              <w:bottom w:val="single" w:sz="4"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2010</w:t>
            </w:r>
          </w:p>
        </w:tc>
        <w:tc>
          <w:tcPr>
            <w:tcW w:w="956" w:type="dxa"/>
            <w:tcBorders>
              <w:top w:val="single" w:sz="8" w:space="0" w:color="auto"/>
              <w:left w:val="nil"/>
              <w:bottom w:val="single" w:sz="4"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2011</w:t>
            </w:r>
          </w:p>
        </w:tc>
        <w:tc>
          <w:tcPr>
            <w:tcW w:w="956" w:type="dxa"/>
            <w:tcBorders>
              <w:top w:val="single" w:sz="8" w:space="0" w:color="auto"/>
              <w:left w:val="nil"/>
              <w:bottom w:val="single" w:sz="4"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2012</w:t>
            </w:r>
          </w:p>
        </w:tc>
        <w:tc>
          <w:tcPr>
            <w:tcW w:w="1211" w:type="dxa"/>
            <w:tcBorders>
              <w:top w:val="single" w:sz="8" w:space="0" w:color="auto"/>
              <w:left w:val="nil"/>
              <w:bottom w:val="single" w:sz="4" w:space="0" w:color="auto"/>
              <w:right w:val="single" w:sz="8"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average</w:t>
            </w:r>
          </w:p>
        </w:tc>
      </w:tr>
      <w:tr w:rsidR="001209BC" w:rsidRPr="0072532F" w:rsidTr="003E2194">
        <w:trPr>
          <w:trHeight w:val="300"/>
        </w:trPr>
        <w:tc>
          <w:tcPr>
            <w:tcW w:w="2518"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1209BC" w:rsidRPr="0072532F" w:rsidRDefault="001209BC" w:rsidP="001209BC">
            <w:pPr>
              <w:spacing w:after="0" w:line="240" w:lineRule="auto"/>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Goods And Services</w:t>
            </w:r>
          </w:p>
        </w:tc>
        <w:tc>
          <w:tcPr>
            <w:tcW w:w="955" w:type="dxa"/>
            <w:tcBorders>
              <w:top w:val="nil"/>
              <w:left w:val="nil"/>
              <w:bottom w:val="single" w:sz="4" w:space="0" w:color="auto"/>
              <w:right w:val="single" w:sz="4" w:space="0" w:color="auto"/>
            </w:tcBorders>
            <w:shd w:val="clear" w:color="auto" w:fill="D9D9D9" w:themeFill="background1" w:themeFillShade="D9"/>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56%</w:t>
            </w:r>
          </w:p>
        </w:tc>
        <w:tc>
          <w:tcPr>
            <w:tcW w:w="956" w:type="dxa"/>
            <w:tcBorders>
              <w:top w:val="nil"/>
              <w:left w:val="nil"/>
              <w:bottom w:val="single" w:sz="4" w:space="0" w:color="auto"/>
              <w:right w:val="single" w:sz="4" w:space="0" w:color="auto"/>
            </w:tcBorders>
            <w:shd w:val="clear" w:color="auto" w:fill="D9D9D9" w:themeFill="background1" w:themeFillShade="D9"/>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52%</w:t>
            </w:r>
          </w:p>
        </w:tc>
        <w:tc>
          <w:tcPr>
            <w:tcW w:w="956" w:type="dxa"/>
            <w:tcBorders>
              <w:top w:val="nil"/>
              <w:left w:val="nil"/>
              <w:bottom w:val="single" w:sz="4" w:space="0" w:color="auto"/>
              <w:right w:val="single" w:sz="4" w:space="0" w:color="auto"/>
            </w:tcBorders>
            <w:shd w:val="clear" w:color="auto" w:fill="D9D9D9" w:themeFill="background1" w:themeFillShade="D9"/>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54%</w:t>
            </w:r>
          </w:p>
        </w:tc>
        <w:tc>
          <w:tcPr>
            <w:tcW w:w="956" w:type="dxa"/>
            <w:tcBorders>
              <w:top w:val="nil"/>
              <w:left w:val="nil"/>
              <w:bottom w:val="single" w:sz="4" w:space="0" w:color="auto"/>
              <w:right w:val="single" w:sz="4" w:space="0" w:color="auto"/>
            </w:tcBorders>
            <w:shd w:val="clear" w:color="auto" w:fill="D9D9D9" w:themeFill="background1" w:themeFillShade="D9"/>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51%</w:t>
            </w:r>
          </w:p>
        </w:tc>
        <w:tc>
          <w:tcPr>
            <w:tcW w:w="956" w:type="dxa"/>
            <w:tcBorders>
              <w:top w:val="nil"/>
              <w:left w:val="nil"/>
              <w:bottom w:val="single" w:sz="4" w:space="0" w:color="auto"/>
              <w:right w:val="single" w:sz="4" w:space="0" w:color="auto"/>
            </w:tcBorders>
            <w:shd w:val="clear" w:color="auto" w:fill="D9D9D9" w:themeFill="background1" w:themeFillShade="D9"/>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40%</w:t>
            </w:r>
          </w:p>
        </w:tc>
        <w:tc>
          <w:tcPr>
            <w:tcW w:w="956" w:type="dxa"/>
            <w:tcBorders>
              <w:top w:val="nil"/>
              <w:left w:val="nil"/>
              <w:bottom w:val="single" w:sz="4" w:space="0" w:color="auto"/>
              <w:right w:val="single" w:sz="4" w:space="0" w:color="auto"/>
            </w:tcBorders>
            <w:shd w:val="clear" w:color="auto" w:fill="D9D9D9" w:themeFill="background1" w:themeFillShade="D9"/>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33%</w:t>
            </w:r>
          </w:p>
        </w:tc>
        <w:tc>
          <w:tcPr>
            <w:tcW w:w="1211" w:type="dxa"/>
            <w:tcBorders>
              <w:top w:val="nil"/>
              <w:left w:val="nil"/>
              <w:bottom w:val="single" w:sz="4" w:space="0" w:color="auto"/>
              <w:right w:val="single" w:sz="8" w:space="0" w:color="auto"/>
            </w:tcBorders>
            <w:shd w:val="clear" w:color="auto" w:fill="D9D9D9" w:themeFill="background1" w:themeFillShade="D9"/>
            <w:noWrap/>
            <w:vAlign w:val="center"/>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48%</w:t>
            </w:r>
          </w:p>
        </w:tc>
      </w:tr>
      <w:tr w:rsidR="001209BC" w:rsidRPr="0072532F" w:rsidTr="003E2194">
        <w:trPr>
          <w:trHeight w:val="300"/>
        </w:trPr>
        <w:tc>
          <w:tcPr>
            <w:tcW w:w="2518" w:type="dxa"/>
            <w:tcBorders>
              <w:top w:val="nil"/>
              <w:left w:val="single" w:sz="8" w:space="0" w:color="auto"/>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t>Maintenance</w:t>
            </w:r>
          </w:p>
        </w:tc>
        <w:tc>
          <w:tcPr>
            <w:tcW w:w="955"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12%</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8%</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8%</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7%</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6%</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5%</w:t>
            </w:r>
          </w:p>
        </w:tc>
        <w:tc>
          <w:tcPr>
            <w:tcW w:w="1211" w:type="dxa"/>
            <w:tcBorders>
              <w:top w:val="nil"/>
              <w:left w:val="nil"/>
              <w:bottom w:val="single" w:sz="4" w:space="0" w:color="auto"/>
              <w:right w:val="single" w:sz="8"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8%</w:t>
            </w:r>
          </w:p>
        </w:tc>
      </w:tr>
      <w:tr w:rsidR="001209BC" w:rsidRPr="0072532F" w:rsidTr="003E2194">
        <w:trPr>
          <w:trHeight w:val="300"/>
        </w:trPr>
        <w:tc>
          <w:tcPr>
            <w:tcW w:w="2518"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1209BC" w:rsidRPr="0072532F" w:rsidRDefault="001209BC" w:rsidP="001209BC">
            <w:pPr>
              <w:spacing w:after="0" w:line="240" w:lineRule="auto"/>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Interest Payments</w:t>
            </w:r>
          </w:p>
        </w:tc>
        <w:tc>
          <w:tcPr>
            <w:tcW w:w="955" w:type="dxa"/>
            <w:tcBorders>
              <w:top w:val="nil"/>
              <w:left w:val="nil"/>
              <w:bottom w:val="single" w:sz="4" w:space="0" w:color="auto"/>
              <w:right w:val="single" w:sz="4" w:space="0" w:color="auto"/>
            </w:tcBorders>
            <w:shd w:val="clear" w:color="auto" w:fill="D9D9D9" w:themeFill="background1" w:themeFillShade="D9"/>
            <w:noWrap/>
            <w:vAlign w:val="bottom"/>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33%</w:t>
            </w:r>
          </w:p>
        </w:tc>
        <w:tc>
          <w:tcPr>
            <w:tcW w:w="956" w:type="dxa"/>
            <w:tcBorders>
              <w:top w:val="nil"/>
              <w:left w:val="nil"/>
              <w:bottom w:val="single" w:sz="4" w:space="0" w:color="auto"/>
              <w:right w:val="single" w:sz="4" w:space="0" w:color="auto"/>
            </w:tcBorders>
            <w:shd w:val="clear" w:color="auto" w:fill="D9D9D9" w:themeFill="background1" w:themeFillShade="D9"/>
            <w:noWrap/>
            <w:vAlign w:val="bottom"/>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40%</w:t>
            </w:r>
          </w:p>
        </w:tc>
        <w:tc>
          <w:tcPr>
            <w:tcW w:w="956" w:type="dxa"/>
            <w:tcBorders>
              <w:top w:val="nil"/>
              <w:left w:val="nil"/>
              <w:bottom w:val="single" w:sz="4" w:space="0" w:color="auto"/>
              <w:right w:val="single" w:sz="4" w:space="0" w:color="auto"/>
            </w:tcBorders>
            <w:shd w:val="clear" w:color="auto" w:fill="D9D9D9" w:themeFill="background1" w:themeFillShade="D9"/>
            <w:noWrap/>
            <w:vAlign w:val="bottom"/>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38%</w:t>
            </w:r>
          </w:p>
        </w:tc>
        <w:tc>
          <w:tcPr>
            <w:tcW w:w="956" w:type="dxa"/>
            <w:tcBorders>
              <w:top w:val="nil"/>
              <w:left w:val="nil"/>
              <w:bottom w:val="single" w:sz="4" w:space="0" w:color="auto"/>
              <w:right w:val="single" w:sz="4" w:space="0" w:color="auto"/>
            </w:tcBorders>
            <w:shd w:val="clear" w:color="auto" w:fill="D9D9D9" w:themeFill="background1" w:themeFillShade="D9"/>
            <w:noWrap/>
            <w:vAlign w:val="bottom"/>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42%</w:t>
            </w:r>
          </w:p>
        </w:tc>
        <w:tc>
          <w:tcPr>
            <w:tcW w:w="956" w:type="dxa"/>
            <w:tcBorders>
              <w:top w:val="nil"/>
              <w:left w:val="nil"/>
              <w:bottom w:val="single" w:sz="4" w:space="0" w:color="auto"/>
              <w:right w:val="single" w:sz="4" w:space="0" w:color="auto"/>
            </w:tcBorders>
            <w:shd w:val="clear" w:color="auto" w:fill="D9D9D9" w:themeFill="background1" w:themeFillShade="D9"/>
            <w:noWrap/>
            <w:vAlign w:val="bottom"/>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54%</w:t>
            </w:r>
          </w:p>
        </w:tc>
        <w:tc>
          <w:tcPr>
            <w:tcW w:w="956" w:type="dxa"/>
            <w:tcBorders>
              <w:top w:val="nil"/>
              <w:left w:val="nil"/>
              <w:bottom w:val="single" w:sz="4" w:space="0" w:color="auto"/>
              <w:right w:val="single" w:sz="4" w:space="0" w:color="auto"/>
            </w:tcBorders>
            <w:shd w:val="clear" w:color="auto" w:fill="D9D9D9" w:themeFill="background1" w:themeFillShade="D9"/>
            <w:noWrap/>
            <w:vAlign w:val="bottom"/>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62%</w:t>
            </w:r>
          </w:p>
        </w:tc>
        <w:tc>
          <w:tcPr>
            <w:tcW w:w="1211" w:type="dxa"/>
            <w:tcBorders>
              <w:top w:val="nil"/>
              <w:left w:val="nil"/>
              <w:bottom w:val="single" w:sz="4" w:space="0" w:color="auto"/>
              <w:right w:val="single" w:sz="8" w:space="0" w:color="auto"/>
            </w:tcBorders>
            <w:shd w:val="clear" w:color="auto" w:fill="D9D9D9" w:themeFill="background1" w:themeFillShade="D9"/>
            <w:noWrap/>
            <w:vAlign w:val="bottom"/>
            <w:hideMark/>
          </w:tcPr>
          <w:p w:rsidR="001209BC" w:rsidRPr="0072532F" w:rsidRDefault="001209BC" w:rsidP="001209BC">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45%</w:t>
            </w:r>
          </w:p>
        </w:tc>
      </w:tr>
      <w:tr w:rsidR="001209BC" w:rsidRPr="0072532F" w:rsidTr="003E2194">
        <w:trPr>
          <w:trHeight w:val="300"/>
        </w:trPr>
        <w:tc>
          <w:tcPr>
            <w:tcW w:w="2518" w:type="dxa"/>
            <w:tcBorders>
              <w:top w:val="nil"/>
              <w:left w:val="single" w:sz="8" w:space="0" w:color="auto"/>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lastRenderedPageBreak/>
              <w:t>Consumption Of Fixed Capital</w:t>
            </w:r>
          </w:p>
        </w:tc>
        <w:tc>
          <w:tcPr>
            <w:tcW w:w="955"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1211" w:type="dxa"/>
            <w:tcBorders>
              <w:top w:val="nil"/>
              <w:left w:val="nil"/>
              <w:bottom w:val="single" w:sz="4" w:space="0" w:color="auto"/>
              <w:right w:val="single" w:sz="8"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r>
      <w:tr w:rsidR="001209BC" w:rsidRPr="0072532F" w:rsidTr="003E2194">
        <w:trPr>
          <w:trHeight w:val="300"/>
        </w:trPr>
        <w:tc>
          <w:tcPr>
            <w:tcW w:w="2518" w:type="dxa"/>
            <w:tcBorders>
              <w:top w:val="nil"/>
              <w:left w:val="single" w:sz="8" w:space="0" w:color="auto"/>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t>Property Expense Other Than Interest</w:t>
            </w:r>
          </w:p>
        </w:tc>
        <w:tc>
          <w:tcPr>
            <w:tcW w:w="955"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56" w:type="dxa"/>
            <w:tcBorders>
              <w:top w:val="nil"/>
              <w:left w:val="nil"/>
              <w:bottom w:val="single" w:sz="4" w:space="0" w:color="auto"/>
              <w:right w:val="single" w:sz="4"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1211" w:type="dxa"/>
            <w:tcBorders>
              <w:top w:val="nil"/>
              <w:left w:val="nil"/>
              <w:bottom w:val="single" w:sz="4" w:space="0" w:color="auto"/>
              <w:right w:val="single" w:sz="8" w:space="0" w:color="auto"/>
            </w:tcBorders>
            <w:shd w:val="clear" w:color="auto" w:fill="auto"/>
            <w:noWrap/>
            <w:vAlign w:val="bottom"/>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r>
      <w:tr w:rsidR="001209BC" w:rsidRPr="0072532F" w:rsidTr="003E2194">
        <w:trPr>
          <w:trHeight w:val="315"/>
        </w:trPr>
        <w:tc>
          <w:tcPr>
            <w:tcW w:w="2518" w:type="dxa"/>
            <w:tcBorders>
              <w:top w:val="nil"/>
              <w:left w:val="single" w:sz="8" w:space="0" w:color="auto"/>
              <w:bottom w:val="nil"/>
              <w:right w:val="nil"/>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t> </w:t>
            </w:r>
          </w:p>
        </w:tc>
        <w:tc>
          <w:tcPr>
            <w:tcW w:w="955" w:type="dxa"/>
            <w:tcBorders>
              <w:top w:val="nil"/>
              <w:left w:val="nil"/>
              <w:bottom w:val="nil"/>
              <w:right w:val="nil"/>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p>
        </w:tc>
        <w:tc>
          <w:tcPr>
            <w:tcW w:w="956" w:type="dxa"/>
            <w:tcBorders>
              <w:top w:val="nil"/>
              <w:left w:val="nil"/>
              <w:bottom w:val="nil"/>
              <w:right w:val="nil"/>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p>
        </w:tc>
        <w:tc>
          <w:tcPr>
            <w:tcW w:w="956" w:type="dxa"/>
            <w:tcBorders>
              <w:top w:val="nil"/>
              <w:left w:val="nil"/>
              <w:bottom w:val="nil"/>
              <w:right w:val="nil"/>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p>
        </w:tc>
        <w:tc>
          <w:tcPr>
            <w:tcW w:w="956" w:type="dxa"/>
            <w:tcBorders>
              <w:top w:val="nil"/>
              <w:left w:val="nil"/>
              <w:bottom w:val="nil"/>
              <w:right w:val="nil"/>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p>
        </w:tc>
        <w:tc>
          <w:tcPr>
            <w:tcW w:w="956" w:type="dxa"/>
            <w:tcBorders>
              <w:top w:val="nil"/>
              <w:left w:val="nil"/>
              <w:bottom w:val="nil"/>
              <w:right w:val="nil"/>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p>
        </w:tc>
        <w:tc>
          <w:tcPr>
            <w:tcW w:w="956" w:type="dxa"/>
            <w:tcBorders>
              <w:top w:val="nil"/>
              <w:left w:val="nil"/>
              <w:bottom w:val="nil"/>
              <w:right w:val="nil"/>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p>
        </w:tc>
        <w:tc>
          <w:tcPr>
            <w:tcW w:w="1211" w:type="dxa"/>
            <w:tcBorders>
              <w:top w:val="nil"/>
              <w:left w:val="nil"/>
              <w:bottom w:val="nil"/>
              <w:right w:val="single" w:sz="8" w:space="0" w:color="auto"/>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t> </w:t>
            </w:r>
          </w:p>
        </w:tc>
      </w:tr>
      <w:tr w:rsidR="001209BC" w:rsidRPr="0072532F" w:rsidTr="003E2194">
        <w:trPr>
          <w:trHeight w:val="315"/>
        </w:trPr>
        <w:tc>
          <w:tcPr>
            <w:tcW w:w="25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209BC" w:rsidRPr="0072532F" w:rsidRDefault="001209BC" w:rsidP="001209BC">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t>Total Use of Goods and Services</w:t>
            </w:r>
          </w:p>
        </w:tc>
        <w:tc>
          <w:tcPr>
            <w:tcW w:w="955" w:type="dxa"/>
            <w:tcBorders>
              <w:top w:val="single" w:sz="8" w:space="0" w:color="auto"/>
              <w:left w:val="nil"/>
              <w:bottom w:val="single" w:sz="8"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100%</w:t>
            </w:r>
          </w:p>
        </w:tc>
        <w:tc>
          <w:tcPr>
            <w:tcW w:w="956" w:type="dxa"/>
            <w:tcBorders>
              <w:top w:val="single" w:sz="8" w:space="0" w:color="auto"/>
              <w:left w:val="nil"/>
              <w:bottom w:val="single" w:sz="8"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100%</w:t>
            </w:r>
          </w:p>
        </w:tc>
        <w:tc>
          <w:tcPr>
            <w:tcW w:w="956" w:type="dxa"/>
            <w:tcBorders>
              <w:top w:val="single" w:sz="8" w:space="0" w:color="auto"/>
              <w:left w:val="nil"/>
              <w:bottom w:val="single" w:sz="8"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100%</w:t>
            </w:r>
          </w:p>
        </w:tc>
        <w:tc>
          <w:tcPr>
            <w:tcW w:w="956" w:type="dxa"/>
            <w:tcBorders>
              <w:top w:val="single" w:sz="8" w:space="0" w:color="auto"/>
              <w:left w:val="nil"/>
              <w:bottom w:val="single" w:sz="8"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100%</w:t>
            </w:r>
          </w:p>
        </w:tc>
        <w:tc>
          <w:tcPr>
            <w:tcW w:w="956" w:type="dxa"/>
            <w:tcBorders>
              <w:top w:val="single" w:sz="8" w:space="0" w:color="auto"/>
              <w:left w:val="nil"/>
              <w:bottom w:val="single" w:sz="8"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100%</w:t>
            </w:r>
          </w:p>
        </w:tc>
        <w:tc>
          <w:tcPr>
            <w:tcW w:w="956" w:type="dxa"/>
            <w:tcBorders>
              <w:top w:val="single" w:sz="8" w:space="0" w:color="auto"/>
              <w:left w:val="nil"/>
              <w:bottom w:val="single" w:sz="8" w:space="0" w:color="auto"/>
              <w:right w:val="single" w:sz="4"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100%</w:t>
            </w:r>
          </w:p>
        </w:tc>
        <w:tc>
          <w:tcPr>
            <w:tcW w:w="1211" w:type="dxa"/>
            <w:tcBorders>
              <w:top w:val="single" w:sz="8" w:space="0" w:color="auto"/>
              <w:left w:val="nil"/>
              <w:bottom w:val="single" w:sz="8" w:space="0" w:color="auto"/>
              <w:right w:val="single" w:sz="8" w:space="0" w:color="auto"/>
            </w:tcBorders>
            <w:shd w:val="clear" w:color="auto" w:fill="auto"/>
            <w:noWrap/>
            <w:vAlign w:val="center"/>
            <w:hideMark/>
          </w:tcPr>
          <w:p w:rsidR="001209BC" w:rsidRPr="0072532F" w:rsidRDefault="001209BC" w:rsidP="001209BC">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100%</w:t>
            </w:r>
          </w:p>
        </w:tc>
      </w:tr>
    </w:tbl>
    <w:p w:rsidR="001209BC" w:rsidRPr="0072532F" w:rsidRDefault="001209BC" w:rsidP="001C79BA">
      <w:pPr>
        <w:rPr>
          <w:rFonts w:asciiTheme="majorHAnsi" w:hAnsiTheme="majorHAnsi" w:cstheme="majorBidi"/>
          <w:b/>
          <w:bCs/>
          <w:sz w:val="24"/>
          <w:szCs w:val="24"/>
        </w:rPr>
      </w:pPr>
    </w:p>
    <w:p w:rsidR="00AD56BA" w:rsidRPr="0072532F" w:rsidRDefault="00AD56BA" w:rsidP="00921E8B">
      <w:pPr>
        <w:spacing w:line="480" w:lineRule="auto"/>
        <w:ind w:firstLine="709"/>
        <w:rPr>
          <w:rFonts w:asciiTheme="majorHAnsi" w:hAnsiTheme="majorHAnsi" w:cstheme="majorBidi"/>
          <w:sz w:val="24"/>
          <w:szCs w:val="24"/>
        </w:rPr>
      </w:pPr>
      <w:r w:rsidRPr="0072532F">
        <w:rPr>
          <w:rFonts w:asciiTheme="majorHAnsi" w:hAnsiTheme="majorHAnsi" w:cstheme="majorBidi"/>
          <w:sz w:val="24"/>
          <w:szCs w:val="24"/>
        </w:rPr>
        <w:t>Interest Payments has been increasing by 33.45% annually</w:t>
      </w:r>
      <w:r w:rsidR="007D58FC">
        <w:rPr>
          <w:rFonts w:asciiTheme="majorHAnsi" w:hAnsiTheme="majorHAnsi" w:cstheme="majorBidi"/>
          <w:sz w:val="24"/>
          <w:szCs w:val="24"/>
        </w:rPr>
        <w:t xml:space="preserve"> since 2007</w:t>
      </w:r>
      <w:r w:rsidRPr="0072532F">
        <w:rPr>
          <w:rFonts w:asciiTheme="majorHAnsi" w:hAnsiTheme="majorHAnsi" w:cstheme="majorBidi"/>
          <w:sz w:val="24"/>
          <w:szCs w:val="24"/>
        </w:rPr>
        <w:t xml:space="preserve"> and represent 45% of total Use of Goods and Services and 8.81% </w:t>
      </w:r>
      <w:r w:rsidR="007D58FC">
        <w:rPr>
          <w:rFonts w:asciiTheme="majorHAnsi" w:hAnsiTheme="majorHAnsi" w:cstheme="majorBidi"/>
          <w:sz w:val="24"/>
          <w:szCs w:val="24"/>
        </w:rPr>
        <w:t>(</w:t>
      </w:r>
      <w:r w:rsidR="00921E8B">
        <w:rPr>
          <w:rFonts w:asciiTheme="majorHAnsi" w:hAnsiTheme="majorHAnsi" w:cstheme="majorBidi"/>
          <w:sz w:val="24"/>
          <w:szCs w:val="24"/>
        </w:rPr>
        <w:t xml:space="preserve">a </w:t>
      </w:r>
      <w:r w:rsidR="007D58FC">
        <w:rPr>
          <w:rFonts w:asciiTheme="majorHAnsi" w:hAnsiTheme="majorHAnsi" w:cstheme="majorBidi"/>
          <w:sz w:val="24"/>
          <w:szCs w:val="24"/>
        </w:rPr>
        <w:t xml:space="preserve">5-year </w:t>
      </w:r>
      <w:r w:rsidRPr="0072532F">
        <w:rPr>
          <w:rFonts w:asciiTheme="majorHAnsi" w:hAnsiTheme="majorHAnsi" w:cstheme="majorBidi"/>
          <w:sz w:val="24"/>
          <w:szCs w:val="24"/>
        </w:rPr>
        <w:t>average</w:t>
      </w:r>
      <w:r w:rsidR="007D58FC">
        <w:rPr>
          <w:rFonts w:asciiTheme="majorHAnsi" w:hAnsiTheme="majorHAnsi" w:cstheme="majorBidi"/>
          <w:sz w:val="24"/>
          <w:szCs w:val="24"/>
        </w:rPr>
        <w:t>)</w:t>
      </w:r>
      <w:r w:rsidRPr="0072532F">
        <w:rPr>
          <w:rFonts w:asciiTheme="majorHAnsi" w:hAnsiTheme="majorHAnsi" w:cstheme="majorBidi"/>
          <w:sz w:val="24"/>
          <w:szCs w:val="24"/>
        </w:rPr>
        <w:t xml:space="preserve"> of Total Expending.</w:t>
      </w:r>
      <w:r w:rsidR="00921E8B">
        <w:rPr>
          <w:rFonts w:asciiTheme="majorHAnsi" w:hAnsiTheme="majorHAnsi" w:cstheme="majorBidi"/>
          <w:sz w:val="24"/>
          <w:szCs w:val="24"/>
        </w:rPr>
        <w:t xml:space="preserve"> </w:t>
      </w:r>
      <w:r w:rsidR="007D58FC">
        <w:rPr>
          <w:rFonts w:asciiTheme="majorHAnsi" w:hAnsiTheme="majorHAnsi" w:cstheme="majorBidi"/>
          <w:sz w:val="24"/>
          <w:szCs w:val="24"/>
        </w:rPr>
        <w:t xml:space="preserve">In 2012, </w:t>
      </w:r>
      <w:r w:rsidRPr="0072532F">
        <w:rPr>
          <w:rFonts w:asciiTheme="majorHAnsi" w:hAnsiTheme="majorHAnsi" w:cstheme="majorBidi"/>
          <w:sz w:val="24"/>
          <w:szCs w:val="24"/>
        </w:rPr>
        <w:t xml:space="preserve">Interest Payments </w:t>
      </w:r>
      <w:r w:rsidR="007D58FC">
        <w:rPr>
          <w:rFonts w:asciiTheme="majorHAnsi" w:hAnsiTheme="majorHAnsi" w:cstheme="majorBidi"/>
          <w:sz w:val="24"/>
          <w:szCs w:val="24"/>
        </w:rPr>
        <w:t xml:space="preserve">alone were </w:t>
      </w:r>
      <w:r w:rsidRPr="0072532F">
        <w:rPr>
          <w:rFonts w:asciiTheme="majorHAnsi" w:hAnsiTheme="majorHAnsi" w:cstheme="majorBidi"/>
          <w:sz w:val="24"/>
          <w:szCs w:val="24"/>
        </w:rPr>
        <w:t xml:space="preserve">accounted for more than 16% of total Expending. The main reasons for the recent increases in the Interest Payments are the recent reliance on the issuance of treasury bills to finance the fiscal deficits and the high interest rates (as much as 23%) that are attached with these T-bills. </w:t>
      </w:r>
      <w:r w:rsidR="007D58FC">
        <w:rPr>
          <w:rFonts w:asciiTheme="majorHAnsi" w:hAnsiTheme="majorHAnsi" w:cstheme="majorBidi"/>
          <w:sz w:val="24"/>
          <w:szCs w:val="24"/>
        </w:rPr>
        <w:t>In 2013, T-bills interest rates were reduced to 17%</w:t>
      </w:r>
      <w:r w:rsidR="000D2B42">
        <w:rPr>
          <w:rFonts w:asciiTheme="majorHAnsi" w:hAnsiTheme="majorHAnsi" w:cstheme="majorBidi"/>
          <w:sz w:val="24"/>
          <w:szCs w:val="24"/>
        </w:rPr>
        <w:t xml:space="preserve"> with </w:t>
      </w:r>
      <w:r w:rsidR="00921E8B">
        <w:rPr>
          <w:rFonts w:asciiTheme="majorHAnsi" w:hAnsiTheme="majorHAnsi" w:cstheme="majorBidi"/>
          <w:sz w:val="24"/>
          <w:szCs w:val="24"/>
        </w:rPr>
        <w:t>an annual</w:t>
      </w:r>
      <w:r w:rsidR="000D2B42">
        <w:rPr>
          <w:rFonts w:asciiTheme="majorHAnsi" w:hAnsiTheme="majorHAnsi" w:cstheme="majorBidi"/>
          <w:sz w:val="24"/>
          <w:szCs w:val="24"/>
        </w:rPr>
        <w:t xml:space="preserve"> inflation rate of 7.8% and real interest rate of %6.2</w:t>
      </w:r>
      <w:r w:rsidR="00921E8B">
        <w:rPr>
          <w:rFonts w:asciiTheme="majorHAnsi" w:hAnsiTheme="majorHAnsi" w:cstheme="majorBidi"/>
          <w:sz w:val="24"/>
          <w:szCs w:val="24"/>
        </w:rPr>
        <w:t xml:space="preserve"> (nominal interest rates [14%] minus inflation rate [7.8%])</w:t>
      </w:r>
      <w:r w:rsidR="007D58FC">
        <w:rPr>
          <w:rFonts w:asciiTheme="majorHAnsi" w:hAnsiTheme="majorHAnsi" w:cstheme="majorBidi"/>
          <w:sz w:val="24"/>
          <w:szCs w:val="24"/>
        </w:rPr>
        <w:t>.</w:t>
      </w:r>
      <w:r w:rsidR="00943EFD">
        <w:rPr>
          <w:rFonts w:asciiTheme="majorHAnsi" w:hAnsiTheme="majorHAnsi" w:cstheme="majorBidi"/>
          <w:sz w:val="24"/>
          <w:szCs w:val="24"/>
        </w:rPr>
        <w:t xml:space="preserve">  Although Interest Payments are considered mutual expenditures between local and central authorities, the central authority assumes the responsibility of funding these expenditures. </w:t>
      </w:r>
    </w:p>
    <w:p w:rsidR="001209BC" w:rsidRPr="0072532F" w:rsidRDefault="00FE11E1" w:rsidP="00FE11E1">
      <w:pPr>
        <w:jc w:val="center"/>
        <w:rPr>
          <w:rFonts w:asciiTheme="majorHAnsi" w:hAnsiTheme="majorHAnsi" w:cstheme="majorBidi"/>
          <w:b/>
          <w:bCs/>
          <w:sz w:val="24"/>
          <w:szCs w:val="24"/>
        </w:rPr>
      </w:pPr>
      <w:r w:rsidRPr="0072532F">
        <w:rPr>
          <w:rFonts w:asciiTheme="majorHAnsi" w:hAnsiTheme="majorHAnsi" w:cstheme="majorBidi"/>
          <w:b/>
          <w:bCs/>
          <w:noProof/>
          <w:sz w:val="24"/>
          <w:szCs w:val="24"/>
        </w:rPr>
        <w:drawing>
          <wp:inline distT="0" distB="0" distL="0" distR="0">
            <wp:extent cx="4334786" cy="2592125"/>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5EFC" w:rsidRPr="00527276" w:rsidRDefault="00AD56BA" w:rsidP="0005757F">
      <w:pPr>
        <w:spacing w:line="480" w:lineRule="auto"/>
        <w:rPr>
          <w:rFonts w:asciiTheme="majorHAnsi" w:hAnsiTheme="majorHAnsi" w:cstheme="majorBidi"/>
          <w:sz w:val="24"/>
          <w:szCs w:val="24"/>
        </w:rPr>
      </w:pPr>
      <w:r w:rsidRPr="0072532F">
        <w:rPr>
          <w:rFonts w:asciiTheme="majorHAnsi" w:hAnsiTheme="majorHAnsi" w:cstheme="majorBidi"/>
          <w:b/>
          <w:bCs/>
          <w:sz w:val="24"/>
          <w:szCs w:val="24"/>
        </w:rPr>
        <w:lastRenderedPageBreak/>
        <w:t>II</w:t>
      </w:r>
      <w:r w:rsidR="001D1720" w:rsidRPr="0072532F">
        <w:rPr>
          <w:rFonts w:asciiTheme="majorHAnsi" w:hAnsiTheme="majorHAnsi" w:cstheme="majorBidi"/>
          <w:b/>
          <w:bCs/>
          <w:sz w:val="24"/>
          <w:szCs w:val="24"/>
        </w:rPr>
        <w:t>I) Subsidies, Grants and Social Benefits</w:t>
      </w:r>
      <w:r w:rsidR="00921E8B">
        <w:rPr>
          <w:rFonts w:asciiTheme="majorHAnsi" w:hAnsiTheme="majorHAnsi" w:cstheme="majorBidi"/>
          <w:b/>
          <w:bCs/>
          <w:sz w:val="24"/>
          <w:szCs w:val="24"/>
        </w:rPr>
        <w:t xml:space="preserve"> Chapter</w:t>
      </w:r>
      <w:r w:rsidRPr="0072532F">
        <w:rPr>
          <w:rFonts w:asciiTheme="majorHAnsi" w:hAnsiTheme="majorHAnsi" w:cstheme="majorBidi"/>
          <w:b/>
          <w:bCs/>
          <w:sz w:val="24"/>
          <w:szCs w:val="24"/>
        </w:rPr>
        <w:t>:</w:t>
      </w:r>
      <w:r w:rsidR="00921E8B">
        <w:rPr>
          <w:rFonts w:asciiTheme="majorHAnsi" w:hAnsiTheme="majorHAnsi" w:cstheme="majorBidi"/>
          <w:b/>
          <w:bCs/>
          <w:sz w:val="24"/>
          <w:szCs w:val="24"/>
        </w:rPr>
        <w:t xml:space="preserve"> </w:t>
      </w:r>
      <w:r w:rsidR="00FF6F88" w:rsidRPr="0072532F">
        <w:rPr>
          <w:rFonts w:asciiTheme="majorHAnsi" w:hAnsiTheme="majorHAnsi" w:cstheme="majorBidi"/>
          <w:sz w:val="24"/>
          <w:szCs w:val="24"/>
        </w:rPr>
        <w:t xml:space="preserve">consists of four </w:t>
      </w:r>
      <w:r w:rsidR="00921E8B">
        <w:rPr>
          <w:rFonts w:asciiTheme="majorHAnsi" w:hAnsiTheme="majorHAnsi" w:cstheme="majorBidi"/>
          <w:sz w:val="24"/>
          <w:szCs w:val="24"/>
        </w:rPr>
        <w:t>sub-</w:t>
      </w:r>
      <w:r w:rsidR="00FF6F88" w:rsidRPr="0072532F">
        <w:rPr>
          <w:rFonts w:asciiTheme="majorHAnsi" w:hAnsiTheme="majorHAnsi" w:cstheme="majorBidi"/>
          <w:sz w:val="24"/>
          <w:szCs w:val="24"/>
        </w:rPr>
        <w:t xml:space="preserve">chapters in which Cash Subsidies and Social Benefits make up 95% of total Subsidies, Grants and Social Benefits. </w:t>
      </w:r>
      <w:r w:rsidR="00FF6F88" w:rsidRPr="00F579BC">
        <w:rPr>
          <w:rFonts w:asciiTheme="majorHAnsi" w:hAnsiTheme="majorHAnsi" w:cstheme="majorBidi"/>
          <w:sz w:val="24"/>
          <w:szCs w:val="24"/>
        </w:rPr>
        <w:t xml:space="preserve">Cash Subsidies item is 100% centrally controlled and </w:t>
      </w:r>
      <w:r w:rsidR="00634FF1">
        <w:rPr>
          <w:rFonts w:asciiTheme="majorHAnsi" w:hAnsiTheme="majorHAnsi" w:cstheme="majorBidi"/>
          <w:sz w:val="24"/>
          <w:szCs w:val="24"/>
        </w:rPr>
        <w:t xml:space="preserve">it </w:t>
      </w:r>
      <w:r w:rsidR="00921E8B">
        <w:rPr>
          <w:rFonts w:asciiTheme="majorHAnsi" w:hAnsiTheme="majorHAnsi" w:cstheme="majorBidi"/>
          <w:sz w:val="24"/>
          <w:szCs w:val="24"/>
        </w:rPr>
        <w:t>represents</w:t>
      </w:r>
      <w:r w:rsidR="00921E8B" w:rsidRPr="00F579BC">
        <w:rPr>
          <w:rFonts w:asciiTheme="majorHAnsi" w:hAnsiTheme="majorHAnsi" w:cstheme="majorBidi"/>
          <w:sz w:val="24"/>
          <w:szCs w:val="24"/>
        </w:rPr>
        <w:t xml:space="preserve"> </w:t>
      </w:r>
      <w:r w:rsidR="00921E8B">
        <w:rPr>
          <w:rFonts w:asciiTheme="majorHAnsi" w:hAnsiTheme="majorHAnsi" w:cstheme="majorBidi"/>
          <w:sz w:val="24"/>
          <w:szCs w:val="24"/>
        </w:rPr>
        <w:t xml:space="preserve">primarily </w:t>
      </w:r>
      <w:r w:rsidR="00FF6F88" w:rsidRPr="00F579BC">
        <w:rPr>
          <w:rFonts w:asciiTheme="majorHAnsi" w:hAnsiTheme="majorHAnsi" w:cstheme="majorBidi"/>
          <w:sz w:val="24"/>
          <w:szCs w:val="24"/>
        </w:rPr>
        <w:t xml:space="preserve">the total bill that GoY endures as </w:t>
      </w:r>
      <w:r w:rsidR="00F579BC">
        <w:rPr>
          <w:rFonts w:asciiTheme="majorHAnsi" w:hAnsiTheme="majorHAnsi" w:cstheme="majorBidi"/>
          <w:sz w:val="24"/>
          <w:szCs w:val="24"/>
        </w:rPr>
        <w:t xml:space="preserve">subsidies for </w:t>
      </w:r>
      <w:r w:rsidR="00F579BC" w:rsidRPr="00F579BC">
        <w:rPr>
          <w:rFonts w:asciiTheme="majorHAnsi" w:hAnsiTheme="majorHAnsi" w:cstheme="majorBidi"/>
          <w:sz w:val="24"/>
          <w:szCs w:val="24"/>
        </w:rPr>
        <w:t>fuel products</w:t>
      </w:r>
      <w:r w:rsidR="00F579BC">
        <w:rPr>
          <w:rFonts w:asciiTheme="majorHAnsi" w:hAnsiTheme="majorHAnsi" w:cstheme="majorBidi"/>
          <w:sz w:val="24"/>
          <w:szCs w:val="24"/>
        </w:rPr>
        <w:t xml:space="preserve"> and direct support to line ministries (i.e. Ministry of Electricity)</w:t>
      </w:r>
      <w:r w:rsidR="00FF6F88" w:rsidRPr="00F579BC">
        <w:rPr>
          <w:rFonts w:asciiTheme="majorHAnsi" w:hAnsiTheme="majorHAnsi" w:cstheme="majorBidi"/>
          <w:sz w:val="24"/>
          <w:szCs w:val="24"/>
        </w:rPr>
        <w:t>.</w:t>
      </w:r>
      <w:r w:rsidR="0042016F" w:rsidRPr="00F579BC">
        <w:rPr>
          <w:rFonts w:asciiTheme="majorHAnsi" w:hAnsiTheme="majorHAnsi" w:cstheme="majorBidi"/>
          <w:sz w:val="24"/>
          <w:szCs w:val="24"/>
        </w:rPr>
        <w:t xml:space="preserve"> In 2012, Cash Subsidies were $1.959 billion.</w:t>
      </w:r>
      <w:r w:rsidR="00FF6F88" w:rsidRPr="0072532F">
        <w:rPr>
          <w:rFonts w:asciiTheme="majorHAnsi" w:hAnsiTheme="majorHAnsi" w:cstheme="majorBidi"/>
          <w:sz w:val="24"/>
          <w:szCs w:val="24"/>
        </w:rPr>
        <w:t xml:space="preserve">  This sub-chapter represents </w:t>
      </w:r>
      <w:r w:rsidR="00921E8B">
        <w:rPr>
          <w:rFonts w:asciiTheme="majorHAnsi" w:hAnsiTheme="majorHAnsi" w:cstheme="majorBidi"/>
          <w:sz w:val="24"/>
          <w:szCs w:val="24"/>
        </w:rPr>
        <w:t>(</w:t>
      </w:r>
      <w:r w:rsidR="00FF6F88" w:rsidRPr="0072532F">
        <w:rPr>
          <w:rFonts w:asciiTheme="majorHAnsi" w:hAnsiTheme="majorHAnsi" w:cstheme="majorBidi"/>
          <w:sz w:val="24"/>
          <w:szCs w:val="24"/>
        </w:rPr>
        <w:t xml:space="preserve">on a </w:t>
      </w:r>
      <w:r w:rsidR="00EA5BDF">
        <w:rPr>
          <w:rFonts w:asciiTheme="majorHAnsi" w:hAnsiTheme="majorHAnsi" w:cstheme="majorBidi"/>
          <w:sz w:val="24"/>
          <w:szCs w:val="24"/>
        </w:rPr>
        <w:t xml:space="preserve">5-year </w:t>
      </w:r>
      <w:r w:rsidR="00FF6F88" w:rsidRPr="0072532F">
        <w:rPr>
          <w:rFonts w:asciiTheme="majorHAnsi" w:hAnsiTheme="majorHAnsi" w:cstheme="majorBidi"/>
          <w:sz w:val="24"/>
          <w:szCs w:val="24"/>
        </w:rPr>
        <w:t>historical average</w:t>
      </w:r>
      <w:r w:rsidR="00921E8B">
        <w:rPr>
          <w:rFonts w:asciiTheme="majorHAnsi" w:hAnsiTheme="majorHAnsi" w:cstheme="majorBidi"/>
          <w:sz w:val="24"/>
          <w:szCs w:val="24"/>
        </w:rPr>
        <w:t>)</w:t>
      </w:r>
      <w:r w:rsidR="00FF6F88" w:rsidRPr="0072532F">
        <w:rPr>
          <w:rFonts w:asciiTheme="majorHAnsi" w:hAnsiTheme="majorHAnsi" w:cstheme="majorBidi"/>
          <w:sz w:val="24"/>
          <w:szCs w:val="24"/>
        </w:rPr>
        <w:t xml:space="preserve"> 26% of total Expending and a historical growth rates of -0.44%.</w:t>
      </w:r>
      <w:r w:rsidR="00A0370D">
        <w:rPr>
          <w:rFonts w:asciiTheme="majorHAnsi" w:hAnsiTheme="majorHAnsi" w:cstheme="majorBidi"/>
          <w:sz w:val="24"/>
          <w:szCs w:val="24"/>
        </w:rPr>
        <w:t>Under Cash Subsidies comes Petroleum subsidies and Electricity Subsidies in which Petroleum Subsidies account for 99% of total Cash Subsidies (or 24% of total expending)</w:t>
      </w:r>
      <w:r w:rsidR="002B276E">
        <w:rPr>
          <w:rFonts w:asciiTheme="majorHAnsi" w:hAnsiTheme="majorHAnsi" w:cstheme="majorBidi"/>
          <w:sz w:val="24"/>
          <w:szCs w:val="24"/>
        </w:rPr>
        <w:t>.</w:t>
      </w:r>
      <w:r w:rsidR="0073170E">
        <w:rPr>
          <w:rFonts w:asciiTheme="majorHAnsi" w:hAnsiTheme="majorHAnsi" w:cstheme="majorBidi"/>
          <w:sz w:val="24"/>
          <w:szCs w:val="24"/>
        </w:rPr>
        <w:t xml:space="preserve"> </w:t>
      </w:r>
      <w:r w:rsidR="0073170E" w:rsidRPr="002B276E">
        <w:rPr>
          <w:rFonts w:asciiTheme="majorHAnsi" w:hAnsiTheme="majorHAnsi" w:cstheme="majorBidi"/>
          <w:sz w:val="24"/>
          <w:szCs w:val="24"/>
        </w:rPr>
        <w:t xml:space="preserve">The </w:t>
      </w:r>
      <w:r w:rsidR="002B276E">
        <w:rPr>
          <w:rFonts w:asciiTheme="majorHAnsi" w:hAnsiTheme="majorHAnsi" w:cstheme="majorBidi"/>
          <w:sz w:val="24"/>
          <w:szCs w:val="24"/>
        </w:rPr>
        <w:t xml:space="preserve">5-year historical </w:t>
      </w:r>
      <w:r w:rsidR="0073170E" w:rsidRPr="002B276E">
        <w:rPr>
          <w:rFonts w:asciiTheme="majorHAnsi" w:hAnsiTheme="majorHAnsi" w:cstheme="majorBidi"/>
          <w:sz w:val="24"/>
          <w:szCs w:val="24"/>
        </w:rPr>
        <w:t xml:space="preserve">negative growth rate was due to sharp declines </w:t>
      </w:r>
      <w:r w:rsidR="00F35EFC" w:rsidRPr="002B276E">
        <w:rPr>
          <w:rFonts w:asciiTheme="majorHAnsi" w:hAnsiTheme="majorHAnsi" w:cstheme="majorBidi"/>
          <w:sz w:val="24"/>
          <w:szCs w:val="24"/>
        </w:rPr>
        <w:t>of</w:t>
      </w:r>
      <w:r w:rsidR="0073170E" w:rsidRPr="002B276E">
        <w:rPr>
          <w:rFonts w:asciiTheme="majorHAnsi" w:hAnsiTheme="majorHAnsi" w:cstheme="majorBidi"/>
          <w:sz w:val="24"/>
          <w:szCs w:val="24"/>
        </w:rPr>
        <w:t xml:space="preserve"> 47% and 26</w:t>
      </w:r>
      <w:r w:rsidR="002B276E" w:rsidRPr="002B276E">
        <w:rPr>
          <w:rFonts w:asciiTheme="majorHAnsi" w:hAnsiTheme="majorHAnsi" w:cstheme="majorBidi"/>
          <w:sz w:val="24"/>
          <w:szCs w:val="24"/>
        </w:rPr>
        <w:t>% in 2009 and 2012 respectively</w:t>
      </w:r>
      <w:r w:rsidR="002B276E">
        <w:rPr>
          <w:rFonts w:asciiTheme="majorHAnsi" w:hAnsiTheme="majorHAnsi" w:cstheme="majorBidi"/>
          <w:sz w:val="24"/>
          <w:szCs w:val="24"/>
        </w:rPr>
        <w:t xml:space="preserve"> </w:t>
      </w:r>
      <w:r w:rsidR="00C01885">
        <w:rPr>
          <w:rFonts w:asciiTheme="majorHAnsi" w:hAnsiTheme="majorHAnsi" w:cstheme="majorBidi"/>
          <w:sz w:val="24"/>
          <w:szCs w:val="24"/>
        </w:rPr>
        <w:t>due primarily to</w:t>
      </w:r>
      <w:r w:rsidR="002B276E">
        <w:rPr>
          <w:rFonts w:asciiTheme="majorHAnsi" w:hAnsiTheme="majorHAnsi" w:cstheme="majorBidi"/>
          <w:sz w:val="24"/>
          <w:szCs w:val="24"/>
        </w:rPr>
        <w:t xml:space="preserve"> </w:t>
      </w:r>
      <w:r w:rsidR="00C01885">
        <w:rPr>
          <w:rFonts w:asciiTheme="majorHAnsi" w:hAnsiTheme="majorHAnsi" w:cstheme="majorBidi"/>
          <w:sz w:val="24"/>
          <w:szCs w:val="24"/>
        </w:rPr>
        <w:t>a series</w:t>
      </w:r>
      <w:r w:rsidR="002B276E">
        <w:rPr>
          <w:rFonts w:asciiTheme="majorHAnsi" w:hAnsiTheme="majorHAnsi" w:cstheme="majorBidi"/>
          <w:sz w:val="24"/>
          <w:szCs w:val="24"/>
        </w:rPr>
        <w:t xml:space="preserve"> </w:t>
      </w:r>
      <w:r w:rsidR="00C01885">
        <w:rPr>
          <w:rFonts w:asciiTheme="majorHAnsi" w:hAnsiTheme="majorHAnsi" w:cstheme="majorBidi"/>
          <w:sz w:val="24"/>
          <w:szCs w:val="24"/>
        </w:rPr>
        <w:t xml:space="preserve">of </w:t>
      </w:r>
      <w:r w:rsidR="000E598A">
        <w:rPr>
          <w:rFonts w:asciiTheme="majorHAnsi" w:hAnsiTheme="majorHAnsi" w:cstheme="majorBidi"/>
          <w:sz w:val="24"/>
          <w:szCs w:val="24"/>
        </w:rPr>
        <w:t xml:space="preserve">price </w:t>
      </w:r>
      <w:r w:rsidR="002B276E">
        <w:rPr>
          <w:rFonts w:asciiTheme="majorHAnsi" w:hAnsiTheme="majorHAnsi" w:cstheme="majorBidi"/>
          <w:sz w:val="24"/>
          <w:szCs w:val="24"/>
        </w:rPr>
        <w:t>increase</w:t>
      </w:r>
      <w:r w:rsidR="009B6A4E">
        <w:rPr>
          <w:rFonts w:asciiTheme="majorHAnsi" w:hAnsiTheme="majorHAnsi" w:cstheme="majorBidi"/>
          <w:sz w:val="24"/>
          <w:szCs w:val="24"/>
        </w:rPr>
        <w:t>s</w:t>
      </w:r>
      <w:r w:rsidR="002B276E">
        <w:rPr>
          <w:rFonts w:asciiTheme="majorHAnsi" w:hAnsiTheme="majorHAnsi" w:cstheme="majorBidi"/>
          <w:sz w:val="24"/>
          <w:szCs w:val="24"/>
        </w:rPr>
        <w:t xml:space="preserve"> </w:t>
      </w:r>
      <w:r w:rsidR="009B6A4E">
        <w:rPr>
          <w:rFonts w:asciiTheme="majorHAnsi" w:hAnsiTheme="majorHAnsi" w:cstheme="majorBidi"/>
          <w:sz w:val="24"/>
          <w:szCs w:val="24"/>
        </w:rPr>
        <w:t>in the</w:t>
      </w:r>
      <w:r w:rsidR="002B276E">
        <w:rPr>
          <w:rFonts w:asciiTheme="majorHAnsi" w:hAnsiTheme="majorHAnsi" w:cstheme="majorBidi"/>
          <w:sz w:val="24"/>
          <w:szCs w:val="24"/>
        </w:rPr>
        <w:t xml:space="preserve"> subsidized fuel products</w:t>
      </w:r>
      <w:r w:rsidR="0005757F">
        <w:rPr>
          <w:rFonts w:asciiTheme="majorHAnsi" w:hAnsiTheme="majorHAnsi" w:cstheme="majorBidi"/>
          <w:sz w:val="24"/>
          <w:szCs w:val="24"/>
        </w:rPr>
        <w:t xml:space="preserve"> by the GoY</w:t>
      </w:r>
      <w:r w:rsidR="009B6A4E">
        <w:rPr>
          <w:rFonts w:asciiTheme="majorHAnsi" w:hAnsiTheme="majorHAnsi" w:cstheme="majorBidi"/>
          <w:sz w:val="24"/>
          <w:szCs w:val="24"/>
        </w:rPr>
        <w:t xml:space="preserve"> </w:t>
      </w:r>
      <w:r w:rsidR="00C01885">
        <w:rPr>
          <w:rFonts w:asciiTheme="majorHAnsi" w:hAnsiTheme="majorHAnsi" w:cstheme="majorBidi"/>
          <w:sz w:val="24"/>
          <w:szCs w:val="24"/>
        </w:rPr>
        <w:t xml:space="preserve">and </w:t>
      </w:r>
      <w:r w:rsidR="000E598A">
        <w:rPr>
          <w:rFonts w:asciiTheme="majorHAnsi" w:hAnsiTheme="majorHAnsi" w:cstheme="majorBidi"/>
          <w:sz w:val="24"/>
          <w:szCs w:val="24"/>
        </w:rPr>
        <w:t xml:space="preserve">to </w:t>
      </w:r>
      <w:r w:rsidR="00C01885">
        <w:rPr>
          <w:rFonts w:asciiTheme="majorHAnsi" w:hAnsiTheme="majorHAnsi" w:cstheme="majorBidi"/>
          <w:sz w:val="24"/>
          <w:szCs w:val="24"/>
        </w:rPr>
        <w:t xml:space="preserve">the </w:t>
      </w:r>
      <w:r w:rsidR="0005757F">
        <w:rPr>
          <w:rFonts w:asciiTheme="majorHAnsi" w:hAnsiTheme="majorHAnsi" w:cstheme="majorBidi"/>
          <w:sz w:val="24"/>
          <w:szCs w:val="24"/>
        </w:rPr>
        <w:t>declines</w:t>
      </w:r>
      <w:r w:rsidR="00C01885">
        <w:rPr>
          <w:rFonts w:asciiTheme="majorHAnsi" w:hAnsiTheme="majorHAnsi" w:cstheme="majorBidi"/>
          <w:sz w:val="24"/>
          <w:szCs w:val="24"/>
        </w:rPr>
        <w:t xml:space="preserve"> in global prices of crude oil</w:t>
      </w:r>
      <w:r w:rsidR="000E598A">
        <w:rPr>
          <w:rFonts w:asciiTheme="majorHAnsi" w:hAnsiTheme="majorHAnsi" w:cstheme="majorBidi"/>
          <w:sz w:val="24"/>
          <w:szCs w:val="24"/>
        </w:rPr>
        <w:t xml:space="preserve"> in those years</w:t>
      </w:r>
      <w:r w:rsidR="002B276E">
        <w:rPr>
          <w:rFonts w:asciiTheme="majorHAnsi" w:hAnsiTheme="majorHAnsi" w:cstheme="majorBidi"/>
          <w:sz w:val="24"/>
          <w:szCs w:val="24"/>
        </w:rPr>
        <w:t>.</w:t>
      </w:r>
    </w:p>
    <w:p w:rsidR="00FF6F88" w:rsidRPr="0072532F" w:rsidRDefault="00FF6F88" w:rsidP="00AD3EB7">
      <w:pPr>
        <w:rPr>
          <w:rFonts w:asciiTheme="majorHAnsi" w:hAnsiTheme="majorHAnsi" w:cstheme="majorBidi"/>
          <w:b/>
          <w:bCs/>
          <w:sz w:val="24"/>
          <w:szCs w:val="24"/>
        </w:rPr>
      </w:pPr>
      <w:r w:rsidRPr="0072532F">
        <w:rPr>
          <w:rFonts w:asciiTheme="majorHAnsi" w:hAnsiTheme="majorHAnsi" w:cstheme="majorBidi"/>
          <w:sz w:val="24"/>
          <w:szCs w:val="24"/>
        </w:rPr>
        <w:t xml:space="preserve">Table </w:t>
      </w:r>
      <w:r w:rsidR="00AD3EB7">
        <w:rPr>
          <w:rFonts w:asciiTheme="majorHAnsi" w:hAnsiTheme="majorHAnsi" w:cstheme="majorBidi"/>
          <w:sz w:val="24"/>
          <w:szCs w:val="24"/>
        </w:rPr>
        <w:t>6</w:t>
      </w:r>
      <w:r w:rsidRPr="0072532F">
        <w:rPr>
          <w:rFonts w:asciiTheme="majorHAnsi" w:hAnsiTheme="majorHAnsi" w:cstheme="majorBidi"/>
          <w:sz w:val="24"/>
          <w:szCs w:val="24"/>
        </w:rPr>
        <w:t>:</w:t>
      </w:r>
      <w:r w:rsidR="0016001F">
        <w:rPr>
          <w:rFonts w:asciiTheme="majorHAnsi" w:hAnsiTheme="majorHAnsi" w:cstheme="majorBidi"/>
          <w:sz w:val="24"/>
          <w:szCs w:val="24"/>
        </w:rPr>
        <w:t xml:space="preserve"> </w:t>
      </w:r>
      <w:r w:rsidR="0016001F" w:rsidRPr="0016001F">
        <w:rPr>
          <w:rFonts w:asciiTheme="majorHAnsi" w:hAnsiTheme="majorHAnsi" w:cstheme="majorBidi"/>
          <w:b/>
          <w:bCs/>
          <w:i/>
          <w:iCs/>
          <w:sz w:val="24"/>
          <w:szCs w:val="24"/>
        </w:rPr>
        <w:t>Percentages of Total Subsidies, Grants and Social benefits</w:t>
      </w:r>
    </w:p>
    <w:tbl>
      <w:tblPr>
        <w:tblW w:w="9565" w:type="dxa"/>
        <w:tblInd w:w="98" w:type="dxa"/>
        <w:tblLook w:val="04A0"/>
      </w:tblPr>
      <w:tblGrid>
        <w:gridCol w:w="2845"/>
        <w:gridCol w:w="960"/>
        <w:gridCol w:w="960"/>
        <w:gridCol w:w="960"/>
        <w:gridCol w:w="960"/>
        <w:gridCol w:w="960"/>
        <w:gridCol w:w="960"/>
        <w:gridCol w:w="1018"/>
      </w:tblGrid>
      <w:tr w:rsidR="001D1720" w:rsidRPr="0072532F" w:rsidTr="00FF6F88">
        <w:trPr>
          <w:trHeight w:val="300"/>
        </w:trPr>
        <w:tc>
          <w:tcPr>
            <w:tcW w:w="28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D1720" w:rsidRPr="0072532F" w:rsidRDefault="001D1720" w:rsidP="001D1720">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t>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2007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2008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2009</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2010</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2011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2012</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average</w:t>
            </w:r>
          </w:p>
        </w:tc>
      </w:tr>
      <w:tr w:rsidR="001D1720" w:rsidRPr="0072532F" w:rsidTr="00FE11E1">
        <w:trPr>
          <w:trHeight w:val="300"/>
        </w:trPr>
        <w:tc>
          <w:tcPr>
            <w:tcW w:w="2845"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D1720" w:rsidRPr="0072532F" w:rsidRDefault="001D1720" w:rsidP="001D1720">
            <w:pPr>
              <w:spacing w:after="0" w:line="240" w:lineRule="auto"/>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Cash Subsidies</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81%</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84%</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75.6%</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80%</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79%</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67%</w:t>
            </w:r>
          </w:p>
        </w:tc>
        <w:tc>
          <w:tcPr>
            <w:tcW w:w="960" w:type="dxa"/>
            <w:tcBorders>
              <w:top w:val="nil"/>
              <w:left w:val="nil"/>
              <w:bottom w:val="single" w:sz="4" w:space="0" w:color="auto"/>
              <w:right w:val="single" w:sz="8"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78%</w:t>
            </w:r>
          </w:p>
        </w:tc>
      </w:tr>
      <w:tr w:rsidR="001D1720" w:rsidRPr="0072532F" w:rsidTr="00FF6F88">
        <w:trPr>
          <w:trHeight w:val="300"/>
        </w:trPr>
        <w:tc>
          <w:tcPr>
            <w:tcW w:w="2845" w:type="dxa"/>
            <w:tcBorders>
              <w:top w:val="nil"/>
              <w:left w:val="single" w:sz="8" w:space="0" w:color="auto"/>
              <w:bottom w:val="single" w:sz="4" w:space="0" w:color="auto"/>
              <w:right w:val="single" w:sz="4" w:space="0" w:color="auto"/>
            </w:tcBorders>
            <w:shd w:val="clear" w:color="auto" w:fill="auto"/>
            <w:vAlign w:val="center"/>
            <w:hideMark/>
          </w:tcPr>
          <w:p w:rsidR="001D1720" w:rsidRPr="0072532F" w:rsidRDefault="001D1720" w:rsidP="001D1720">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t>Grants</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0.14%</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0.08%</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0.2%</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c>
          <w:tcPr>
            <w:tcW w:w="960" w:type="dxa"/>
            <w:tcBorders>
              <w:top w:val="nil"/>
              <w:left w:val="nil"/>
              <w:bottom w:val="single" w:sz="4" w:space="0" w:color="auto"/>
              <w:right w:val="single" w:sz="8"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0%</w:t>
            </w:r>
          </w:p>
        </w:tc>
      </w:tr>
      <w:tr w:rsidR="001D1720" w:rsidRPr="0072532F" w:rsidTr="00FE11E1">
        <w:trPr>
          <w:trHeight w:val="300"/>
        </w:trPr>
        <w:tc>
          <w:tcPr>
            <w:tcW w:w="2845"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D1720" w:rsidRPr="0072532F" w:rsidRDefault="001D1720" w:rsidP="001D1720">
            <w:pPr>
              <w:spacing w:after="0" w:line="240" w:lineRule="auto"/>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Social Benefits</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15%</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12%</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19.5%</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16%</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17%</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26%</w:t>
            </w:r>
          </w:p>
        </w:tc>
        <w:tc>
          <w:tcPr>
            <w:tcW w:w="960" w:type="dxa"/>
            <w:tcBorders>
              <w:top w:val="nil"/>
              <w:left w:val="nil"/>
              <w:bottom w:val="single" w:sz="4" w:space="0" w:color="auto"/>
              <w:right w:val="single" w:sz="8" w:space="0" w:color="auto"/>
            </w:tcBorders>
            <w:shd w:val="clear" w:color="auto" w:fill="D9D9D9" w:themeFill="background1" w:themeFillShade="D9"/>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18%</w:t>
            </w:r>
          </w:p>
        </w:tc>
      </w:tr>
      <w:tr w:rsidR="001D1720" w:rsidRPr="0072532F" w:rsidTr="00FF6F88">
        <w:trPr>
          <w:trHeight w:val="300"/>
        </w:trPr>
        <w:tc>
          <w:tcPr>
            <w:tcW w:w="2845" w:type="dxa"/>
            <w:tcBorders>
              <w:top w:val="nil"/>
              <w:left w:val="single" w:sz="8" w:space="0" w:color="auto"/>
              <w:bottom w:val="single" w:sz="4" w:space="0" w:color="auto"/>
              <w:right w:val="single" w:sz="4" w:space="0" w:color="auto"/>
            </w:tcBorders>
            <w:shd w:val="clear" w:color="auto" w:fill="auto"/>
            <w:vAlign w:val="center"/>
            <w:hideMark/>
          </w:tcPr>
          <w:p w:rsidR="001D1720" w:rsidRPr="0072532F" w:rsidRDefault="001D1720" w:rsidP="001D1720">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t xml:space="preserve">Other Cash Subsidies &amp; Transfers </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4.7%</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6%</w:t>
            </w:r>
          </w:p>
        </w:tc>
        <w:tc>
          <w:tcPr>
            <w:tcW w:w="960" w:type="dxa"/>
            <w:tcBorders>
              <w:top w:val="nil"/>
              <w:left w:val="nil"/>
              <w:bottom w:val="single" w:sz="4" w:space="0" w:color="auto"/>
              <w:right w:val="single" w:sz="8"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color w:val="000000"/>
              </w:rPr>
            </w:pPr>
            <w:r w:rsidRPr="0072532F">
              <w:rPr>
                <w:rFonts w:asciiTheme="majorHAnsi" w:eastAsia="Times New Roman" w:hAnsiTheme="majorHAnsi" w:cstheme="majorBidi"/>
                <w:color w:val="000000"/>
              </w:rPr>
              <w:t>4%</w:t>
            </w:r>
          </w:p>
        </w:tc>
      </w:tr>
      <w:tr w:rsidR="001D1720" w:rsidRPr="0072532F" w:rsidTr="00FF6F88">
        <w:trPr>
          <w:trHeight w:val="315"/>
        </w:trPr>
        <w:tc>
          <w:tcPr>
            <w:tcW w:w="2845" w:type="dxa"/>
            <w:tcBorders>
              <w:top w:val="nil"/>
              <w:left w:val="single" w:sz="8" w:space="0" w:color="auto"/>
              <w:bottom w:val="nil"/>
              <w:right w:val="nil"/>
            </w:tcBorders>
            <w:shd w:val="clear" w:color="auto" w:fill="auto"/>
            <w:noWrap/>
            <w:vAlign w:val="bottom"/>
            <w:hideMark/>
          </w:tcPr>
          <w:p w:rsidR="001D1720" w:rsidRPr="0072532F" w:rsidRDefault="001D1720" w:rsidP="001D1720">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t> </w:t>
            </w:r>
          </w:p>
        </w:tc>
        <w:tc>
          <w:tcPr>
            <w:tcW w:w="960" w:type="dxa"/>
            <w:tcBorders>
              <w:top w:val="nil"/>
              <w:left w:val="nil"/>
              <w:bottom w:val="nil"/>
              <w:right w:val="nil"/>
            </w:tcBorders>
            <w:shd w:val="clear" w:color="auto" w:fill="auto"/>
            <w:noWrap/>
            <w:vAlign w:val="bottom"/>
            <w:hideMark/>
          </w:tcPr>
          <w:p w:rsidR="001D1720" w:rsidRPr="0072532F" w:rsidRDefault="001D1720" w:rsidP="001D1720">
            <w:pPr>
              <w:spacing w:after="0" w:line="240" w:lineRule="auto"/>
              <w:rPr>
                <w:rFonts w:asciiTheme="majorHAnsi" w:eastAsia="Times New Roman" w:hAnsiTheme="majorHAnsi" w:cstheme="majorBidi"/>
                <w:color w:val="000000"/>
              </w:rPr>
            </w:pPr>
          </w:p>
        </w:tc>
        <w:tc>
          <w:tcPr>
            <w:tcW w:w="960" w:type="dxa"/>
            <w:tcBorders>
              <w:top w:val="nil"/>
              <w:left w:val="nil"/>
              <w:bottom w:val="nil"/>
              <w:right w:val="nil"/>
            </w:tcBorders>
            <w:shd w:val="clear" w:color="auto" w:fill="auto"/>
            <w:noWrap/>
            <w:vAlign w:val="bottom"/>
            <w:hideMark/>
          </w:tcPr>
          <w:p w:rsidR="001D1720" w:rsidRPr="0072532F" w:rsidRDefault="001D1720" w:rsidP="001D1720">
            <w:pPr>
              <w:spacing w:after="0" w:line="240" w:lineRule="auto"/>
              <w:rPr>
                <w:rFonts w:asciiTheme="majorHAnsi" w:eastAsia="Times New Roman" w:hAnsiTheme="majorHAnsi" w:cstheme="majorBidi"/>
                <w:color w:val="000000"/>
              </w:rPr>
            </w:pPr>
          </w:p>
        </w:tc>
        <w:tc>
          <w:tcPr>
            <w:tcW w:w="960" w:type="dxa"/>
            <w:tcBorders>
              <w:top w:val="nil"/>
              <w:left w:val="nil"/>
              <w:bottom w:val="nil"/>
              <w:right w:val="nil"/>
            </w:tcBorders>
            <w:shd w:val="clear" w:color="auto" w:fill="auto"/>
            <w:noWrap/>
            <w:vAlign w:val="bottom"/>
            <w:hideMark/>
          </w:tcPr>
          <w:p w:rsidR="001D1720" w:rsidRPr="0072532F" w:rsidRDefault="001D1720" w:rsidP="001D1720">
            <w:pPr>
              <w:spacing w:after="0" w:line="240" w:lineRule="auto"/>
              <w:rPr>
                <w:rFonts w:asciiTheme="majorHAnsi" w:eastAsia="Times New Roman" w:hAnsiTheme="majorHAnsi" w:cstheme="majorBidi"/>
                <w:color w:val="000000"/>
              </w:rPr>
            </w:pPr>
          </w:p>
        </w:tc>
        <w:tc>
          <w:tcPr>
            <w:tcW w:w="960" w:type="dxa"/>
            <w:tcBorders>
              <w:top w:val="nil"/>
              <w:left w:val="nil"/>
              <w:bottom w:val="nil"/>
              <w:right w:val="nil"/>
            </w:tcBorders>
            <w:shd w:val="clear" w:color="auto" w:fill="auto"/>
            <w:noWrap/>
            <w:vAlign w:val="bottom"/>
            <w:hideMark/>
          </w:tcPr>
          <w:p w:rsidR="001D1720" w:rsidRPr="0072532F" w:rsidRDefault="001D1720" w:rsidP="001D1720">
            <w:pPr>
              <w:spacing w:after="0" w:line="240" w:lineRule="auto"/>
              <w:rPr>
                <w:rFonts w:asciiTheme="majorHAnsi" w:eastAsia="Times New Roman" w:hAnsiTheme="majorHAnsi" w:cstheme="majorBidi"/>
                <w:color w:val="000000"/>
              </w:rPr>
            </w:pPr>
          </w:p>
        </w:tc>
        <w:tc>
          <w:tcPr>
            <w:tcW w:w="960" w:type="dxa"/>
            <w:tcBorders>
              <w:top w:val="nil"/>
              <w:left w:val="nil"/>
              <w:bottom w:val="nil"/>
              <w:right w:val="nil"/>
            </w:tcBorders>
            <w:shd w:val="clear" w:color="auto" w:fill="auto"/>
            <w:noWrap/>
            <w:vAlign w:val="bottom"/>
            <w:hideMark/>
          </w:tcPr>
          <w:p w:rsidR="001D1720" w:rsidRPr="0072532F" w:rsidRDefault="001D1720" w:rsidP="001D1720">
            <w:pPr>
              <w:spacing w:after="0" w:line="240" w:lineRule="auto"/>
              <w:rPr>
                <w:rFonts w:asciiTheme="majorHAnsi" w:eastAsia="Times New Roman" w:hAnsiTheme="majorHAnsi" w:cstheme="majorBidi"/>
                <w:color w:val="000000"/>
              </w:rPr>
            </w:pPr>
          </w:p>
        </w:tc>
        <w:tc>
          <w:tcPr>
            <w:tcW w:w="960" w:type="dxa"/>
            <w:tcBorders>
              <w:top w:val="nil"/>
              <w:left w:val="nil"/>
              <w:bottom w:val="nil"/>
              <w:right w:val="nil"/>
            </w:tcBorders>
            <w:shd w:val="clear" w:color="auto" w:fill="auto"/>
            <w:noWrap/>
            <w:vAlign w:val="bottom"/>
            <w:hideMark/>
          </w:tcPr>
          <w:p w:rsidR="001D1720" w:rsidRPr="0072532F" w:rsidRDefault="001D1720" w:rsidP="001D1720">
            <w:pPr>
              <w:spacing w:after="0" w:line="240" w:lineRule="auto"/>
              <w:rPr>
                <w:rFonts w:asciiTheme="majorHAnsi" w:eastAsia="Times New Roman" w:hAnsiTheme="majorHAnsi" w:cstheme="majorBidi"/>
                <w:color w:val="000000"/>
              </w:rPr>
            </w:pPr>
          </w:p>
        </w:tc>
        <w:tc>
          <w:tcPr>
            <w:tcW w:w="960" w:type="dxa"/>
            <w:tcBorders>
              <w:top w:val="nil"/>
              <w:left w:val="nil"/>
              <w:bottom w:val="nil"/>
              <w:right w:val="single" w:sz="8" w:space="0" w:color="auto"/>
            </w:tcBorders>
            <w:shd w:val="clear" w:color="auto" w:fill="auto"/>
            <w:noWrap/>
            <w:vAlign w:val="bottom"/>
            <w:hideMark/>
          </w:tcPr>
          <w:p w:rsidR="001D1720" w:rsidRPr="0072532F" w:rsidRDefault="001D1720" w:rsidP="001D1720">
            <w:pPr>
              <w:spacing w:after="0" w:line="240" w:lineRule="auto"/>
              <w:rPr>
                <w:rFonts w:asciiTheme="majorHAnsi" w:eastAsia="Times New Roman" w:hAnsiTheme="majorHAnsi" w:cstheme="majorBidi"/>
                <w:color w:val="000000"/>
              </w:rPr>
            </w:pPr>
            <w:r w:rsidRPr="0072532F">
              <w:rPr>
                <w:rFonts w:asciiTheme="majorHAnsi" w:eastAsia="Times New Roman" w:hAnsiTheme="majorHAnsi" w:cstheme="majorBidi"/>
                <w:color w:val="000000"/>
              </w:rPr>
              <w:t> </w:t>
            </w:r>
          </w:p>
        </w:tc>
      </w:tr>
      <w:tr w:rsidR="001D1720" w:rsidRPr="0072532F" w:rsidTr="00FF6F88">
        <w:trPr>
          <w:trHeight w:val="315"/>
        </w:trPr>
        <w:tc>
          <w:tcPr>
            <w:tcW w:w="2845" w:type="dxa"/>
            <w:tcBorders>
              <w:top w:val="single" w:sz="8" w:space="0" w:color="auto"/>
              <w:left w:val="single" w:sz="8" w:space="0" w:color="auto"/>
              <w:bottom w:val="single" w:sz="8" w:space="0" w:color="auto"/>
              <w:right w:val="nil"/>
            </w:tcBorders>
            <w:shd w:val="clear" w:color="auto" w:fill="auto"/>
            <w:noWrap/>
            <w:vAlign w:val="bottom"/>
            <w:hideMark/>
          </w:tcPr>
          <w:p w:rsidR="001D1720" w:rsidRPr="0072532F" w:rsidRDefault="001D1720" w:rsidP="001D1720">
            <w:pPr>
              <w:spacing w:after="0" w:line="240" w:lineRule="auto"/>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Total Subsidies, Grants And Social Benefits</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100%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100%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100%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100%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100%</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100%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D1720" w:rsidRPr="0072532F" w:rsidRDefault="001D1720" w:rsidP="001D1720">
            <w:pPr>
              <w:spacing w:after="0" w:line="240" w:lineRule="auto"/>
              <w:jc w:val="center"/>
              <w:rPr>
                <w:rFonts w:asciiTheme="majorHAnsi" w:eastAsia="Times New Roman" w:hAnsiTheme="majorHAnsi" w:cstheme="majorBidi"/>
                <w:b/>
                <w:bCs/>
                <w:color w:val="000000"/>
              </w:rPr>
            </w:pPr>
            <w:r w:rsidRPr="0072532F">
              <w:rPr>
                <w:rFonts w:asciiTheme="majorHAnsi" w:eastAsia="Times New Roman" w:hAnsiTheme="majorHAnsi" w:cstheme="majorBidi"/>
                <w:b/>
                <w:bCs/>
                <w:color w:val="000000"/>
              </w:rPr>
              <w:t>100%</w:t>
            </w:r>
          </w:p>
        </w:tc>
      </w:tr>
    </w:tbl>
    <w:p w:rsidR="001D1720" w:rsidRPr="0072532F" w:rsidRDefault="001C79BA" w:rsidP="001C79BA">
      <w:pPr>
        <w:rPr>
          <w:rFonts w:asciiTheme="majorHAnsi" w:hAnsiTheme="majorHAnsi" w:cstheme="majorBidi"/>
          <w:b/>
          <w:bCs/>
          <w:sz w:val="24"/>
          <w:szCs w:val="24"/>
        </w:rPr>
      </w:pPr>
      <w:r w:rsidRPr="0072532F">
        <w:rPr>
          <w:rFonts w:asciiTheme="majorHAnsi" w:hAnsiTheme="majorHAnsi" w:cstheme="majorBidi"/>
          <w:b/>
          <w:bCs/>
          <w:sz w:val="24"/>
          <w:szCs w:val="24"/>
        </w:rPr>
        <w:tab/>
      </w:r>
    </w:p>
    <w:p w:rsidR="001D1720" w:rsidRPr="0072532F" w:rsidRDefault="000E598A" w:rsidP="000E598A">
      <w:pPr>
        <w:ind w:left="851"/>
        <w:rPr>
          <w:rFonts w:asciiTheme="majorHAnsi" w:hAnsiTheme="majorHAnsi" w:cstheme="majorBidi"/>
          <w:b/>
          <w:bCs/>
          <w:sz w:val="24"/>
          <w:szCs w:val="24"/>
        </w:rPr>
      </w:pPr>
      <w:r w:rsidRPr="000E598A">
        <w:rPr>
          <w:rFonts w:asciiTheme="majorHAnsi" w:hAnsiTheme="majorHAnsi" w:cstheme="majorBidi"/>
          <w:b/>
          <w:bCs/>
          <w:sz w:val="24"/>
          <w:szCs w:val="24"/>
        </w:rPr>
        <w:lastRenderedPageBreak/>
        <w:drawing>
          <wp:inline distT="0" distB="0" distL="0" distR="0">
            <wp:extent cx="4743450" cy="3305175"/>
            <wp:effectExtent l="0" t="0" r="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4684" w:rsidRPr="00527276" w:rsidRDefault="0042016F" w:rsidP="002B276E">
      <w:pPr>
        <w:spacing w:line="480" w:lineRule="auto"/>
        <w:ind w:firstLine="851"/>
        <w:rPr>
          <w:rFonts w:asciiTheme="majorHAnsi" w:hAnsiTheme="majorHAnsi" w:cstheme="majorBidi"/>
          <w:sz w:val="24"/>
          <w:szCs w:val="24"/>
        </w:rPr>
      </w:pPr>
      <w:r>
        <w:rPr>
          <w:rFonts w:asciiTheme="majorHAnsi" w:hAnsiTheme="majorHAnsi" w:cstheme="majorBidi"/>
          <w:sz w:val="24"/>
          <w:szCs w:val="24"/>
        </w:rPr>
        <w:t>On Average, fuel products s</w:t>
      </w:r>
      <w:r w:rsidR="00916E83" w:rsidRPr="003C1FDD">
        <w:rPr>
          <w:rFonts w:asciiTheme="majorHAnsi" w:hAnsiTheme="majorHAnsi" w:cstheme="majorBidi"/>
          <w:sz w:val="24"/>
          <w:szCs w:val="24"/>
        </w:rPr>
        <w:t>ubsidies have total about $2.5 billion per year and are forecast at $1.7billion for 2013 with diesel and fuel oil for electricity accounting for 52% of the total subsidies and off- &amp; on-</w:t>
      </w:r>
      <w:r w:rsidR="00A461E5">
        <w:rPr>
          <w:rFonts w:asciiTheme="majorHAnsi" w:hAnsiTheme="majorHAnsi" w:cstheme="majorBidi"/>
          <w:sz w:val="24"/>
          <w:szCs w:val="24"/>
        </w:rPr>
        <w:t>road diesel accounting for 29%</w:t>
      </w:r>
      <w:r w:rsidR="00916E83">
        <w:rPr>
          <w:rFonts w:asciiTheme="majorHAnsi" w:hAnsiTheme="majorHAnsi" w:cstheme="majorBidi"/>
          <w:sz w:val="24"/>
          <w:szCs w:val="24"/>
        </w:rPr>
        <w:t xml:space="preserve"> (See Fuel Subsidies Calculation for 2013)</w:t>
      </w:r>
    </w:p>
    <w:p w:rsidR="002B276E" w:rsidRDefault="00916E83" w:rsidP="002B276E">
      <w:pPr>
        <w:rPr>
          <w:rFonts w:asciiTheme="majorHAnsi" w:hAnsiTheme="majorHAnsi" w:cstheme="majorBidi"/>
          <w:b/>
          <w:bCs/>
          <w:sz w:val="24"/>
          <w:szCs w:val="24"/>
        </w:rPr>
      </w:pPr>
      <w:r w:rsidRPr="0070586D">
        <w:rPr>
          <w:rFonts w:asciiTheme="majorHAnsi" w:hAnsiTheme="majorHAnsi" w:cstheme="majorBidi"/>
          <w:b/>
          <w:bCs/>
          <w:noProof/>
          <w:sz w:val="24"/>
          <w:szCs w:val="24"/>
        </w:rPr>
        <w:lastRenderedPageBreak/>
        <w:drawing>
          <wp:inline distT="0" distB="0" distL="0" distR="0">
            <wp:extent cx="5943600" cy="3491865"/>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2532F">
        <w:rPr>
          <w:rFonts w:asciiTheme="majorHAnsi" w:hAnsiTheme="majorHAnsi" w:cstheme="majorBidi"/>
          <w:b/>
          <w:bCs/>
          <w:sz w:val="24"/>
          <w:szCs w:val="24"/>
        </w:rPr>
        <w:tab/>
      </w:r>
    </w:p>
    <w:p w:rsidR="00AA370D" w:rsidRPr="0072532F" w:rsidRDefault="00AA370D" w:rsidP="002B276E">
      <w:pPr>
        <w:rPr>
          <w:rFonts w:asciiTheme="majorHAnsi" w:hAnsiTheme="majorHAnsi" w:cstheme="majorBidi"/>
          <w:b/>
          <w:bCs/>
          <w:sz w:val="24"/>
          <w:szCs w:val="24"/>
        </w:rPr>
      </w:pPr>
      <w:r w:rsidRPr="0072532F">
        <w:rPr>
          <w:rFonts w:asciiTheme="majorHAnsi" w:hAnsiTheme="majorHAnsi" w:cstheme="majorBidi"/>
          <w:b/>
          <w:bCs/>
          <w:sz w:val="24"/>
          <w:szCs w:val="24"/>
        </w:rPr>
        <w:t>Revenues</w:t>
      </w:r>
    </w:p>
    <w:p w:rsidR="00FE11E1" w:rsidRPr="0072532F" w:rsidRDefault="003806AA" w:rsidP="002C4F15">
      <w:pPr>
        <w:spacing w:line="480" w:lineRule="auto"/>
        <w:ind w:firstLine="709"/>
        <w:rPr>
          <w:rFonts w:asciiTheme="majorHAnsi" w:hAnsiTheme="majorHAnsi" w:cstheme="majorBidi"/>
          <w:sz w:val="24"/>
          <w:szCs w:val="24"/>
        </w:rPr>
      </w:pPr>
      <w:r>
        <w:rPr>
          <w:rFonts w:asciiTheme="majorHAnsi" w:hAnsiTheme="majorHAnsi" w:cstheme="majorBidi"/>
          <w:sz w:val="24"/>
          <w:szCs w:val="24"/>
        </w:rPr>
        <w:t>On a 5-year average, central authority collects 98.4% of total Revenues and Grants whereas local authority collects 1.6%</w:t>
      </w:r>
      <w:r w:rsidR="002C4F15">
        <w:rPr>
          <w:rFonts w:asciiTheme="majorHAnsi" w:hAnsiTheme="majorHAnsi" w:cstheme="majorBidi"/>
          <w:sz w:val="24"/>
          <w:szCs w:val="24"/>
        </w:rPr>
        <w:t>.</w:t>
      </w:r>
      <w:r w:rsidR="00A77BCB">
        <w:rPr>
          <w:rFonts w:asciiTheme="majorHAnsi" w:hAnsiTheme="majorHAnsi" w:cstheme="majorBidi"/>
          <w:sz w:val="24"/>
          <w:szCs w:val="24"/>
        </w:rPr>
        <w:t xml:space="preserve">  </w:t>
      </w:r>
      <w:r w:rsidR="002C4F15">
        <w:rPr>
          <w:rFonts w:asciiTheme="majorHAnsi" w:hAnsiTheme="majorHAnsi" w:cstheme="majorBidi"/>
          <w:sz w:val="24"/>
          <w:szCs w:val="24"/>
        </w:rPr>
        <w:t xml:space="preserve">As </w:t>
      </w:r>
      <w:r w:rsidR="004F3A39">
        <w:rPr>
          <w:rFonts w:asciiTheme="majorHAnsi" w:hAnsiTheme="majorHAnsi" w:cstheme="majorBidi"/>
          <w:sz w:val="24"/>
          <w:szCs w:val="24"/>
        </w:rPr>
        <w:t xml:space="preserve">shown </w:t>
      </w:r>
      <w:r w:rsidR="002C4F15">
        <w:rPr>
          <w:rFonts w:asciiTheme="majorHAnsi" w:hAnsiTheme="majorHAnsi" w:cstheme="majorBidi"/>
          <w:sz w:val="24"/>
          <w:szCs w:val="24"/>
        </w:rPr>
        <w:t xml:space="preserve">in Table 6, </w:t>
      </w:r>
      <w:r w:rsidR="00AE2D11">
        <w:rPr>
          <w:rFonts w:asciiTheme="majorHAnsi" w:hAnsiTheme="majorHAnsi" w:cstheme="majorBidi"/>
          <w:sz w:val="24"/>
          <w:szCs w:val="24"/>
        </w:rPr>
        <w:t>O</w:t>
      </w:r>
      <w:r w:rsidR="002831E4" w:rsidRPr="0072532F">
        <w:rPr>
          <w:rFonts w:asciiTheme="majorHAnsi" w:hAnsiTheme="majorHAnsi" w:cstheme="majorBidi"/>
          <w:sz w:val="24"/>
          <w:szCs w:val="24"/>
        </w:rPr>
        <w:t xml:space="preserve">il and Tax revenues make up 86% of total revenues </w:t>
      </w:r>
      <w:r w:rsidR="00E6146B">
        <w:rPr>
          <w:rFonts w:asciiTheme="majorHAnsi" w:hAnsiTheme="majorHAnsi" w:cstheme="majorBidi"/>
          <w:sz w:val="24"/>
          <w:szCs w:val="24"/>
        </w:rPr>
        <w:t xml:space="preserve">and grants </w:t>
      </w:r>
      <w:r w:rsidR="002C4F15">
        <w:rPr>
          <w:rFonts w:asciiTheme="majorHAnsi" w:hAnsiTheme="majorHAnsi" w:cstheme="majorBidi"/>
          <w:sz w:val="24"/>
          <w:szCs w:val="24"/>
        </w:rPr>
        <w:t>and the remaining revenues come from Other Non-Tax and Capital revenues such as Government Share of Profit Surplus and External Financing revenues</w:t>
      </w:r>
      <w:r w:rsidR="002831E4" w:rsidRPr="0072532F">
        <w:rPr>
          <w:rFonts w:asciiTheme="majorHAnsi" w:hAnsiTheme="majorHAnsi" w:cstheme="majorBidi"/>
          <w:sz w:val="24"/>
          <w:szCs w:val="24"/>
        </w:rPr>
        <w:t xml:space="preserve">. </w:t>
      </w:r>
    </w:p>
    <w:p w:rsidR="00FE11E1" w:rsidRPr="0072532F" w:rsidRDefault="002831E4">
      <w:pPr>
        <w:rPr>
          <w:rFonts w:asciiTheme="majorHAnsi" w:hAnsiTheme="majorHAnsi" w:cstheme="majorBidi"/>
          <w:b/>
          <w:bCs/>
          <w:sz w:val="24"/>
          <w:szCs w:val="24"/>
        </w:rPr>
      </w:pPr>
      <w:r w:rsidRPr="00A53A68">
        <w:rPr>
          <w:rFonts w:asciiTheme="majorHAnsi" w:hAnsiTheme="majorHAnsi" w:cstheme="majorBidi"/>
          <w:sz w:val="24"/>
          <w:szCs w:val="24"/>
        </w:rPr>
        <w:t>Table 6:</w:t>
      </w:r>
      <w:r w:rsidR="00A53A68" w:rsidRPr="00A53A68">
        <w:rPr>
          <w:rFonts w:asciiTheme="majorHAnsi" w:hAnsiTheme="majorHAnsi" w:cstheme="majorBidi"/>
          <w:sz w:val="24"/>
          <w:szCs w:val="24"/>
        </w:rPr>
        <w:t xml:space="preserve"> </w:t>
      </w:r>
      <w:r w:rsidR="00E70276" w:rsidRPr="00E70276">
        <w:rPr>
          <w:rFonts w:asciiTheme="majorHAnsi" w:hAnsiTheme="majorHAnsi" w:cstheme="majorBidi"/>
          <w:b/>
          <w:bCs/>
          <w:i/>
          <w:iCs/>
          <w:sz w:val="24"/>
          <w:szCs w:val="24"/>
        </w:rPr>
        <w:t>Revenues Allocations</w:t>
      </w:r>
    </w:p>
    <w:tbl>
      <w:tblPr>
        <w:tblW w:w="10166" w:type="dxa"/>
        <w:tblInd w:w="-176" w:type="dxa"/>
        <w:tblLook w:val="04A0"/>
      </w:tblPr>
      <w:tblGrid>
        <w:gridCol w:w="2720"/>
        <w:gridCol w:w="1134"/>
        <w:gridCol w:w="1134"/>
        <w:gridCol w:w="1134"/>
        <w:gridCol w:w="1134"/>
        <w:gridCol w:w="1134"/>
        <w:gridCol w:w="1134"/>
        <w:gridCol w:w="1200"/>
      </w:tblGrid>
      <w:tr w:rsidR="001D1720" w:rsidRPr="00AE2D11" w:rsidTr="00D9585A">
        <w:trPr>
          <w:trHeight w:val="915"/>
        </w:trPr>
        <w:tc>
          <w:tcPr>
            <w:tcW w:w="27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Item           Year</w:t>
            </w:r>
          </w:p>
        </w:tc>
        <w:tc>
          <w:tcPr>
            <w:tcW w:w="104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2007</w:t>
            </w:r>
          </w:p>
        </w:tc>
        <w:tc>
          <w:tcPr>
            <w:tcW w:w="104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2008</w:t>
            </w:r>
          </w:p>
        </w:tc>
        <w:tc>
          <w:tcPr>
            <w:tcW w:w="104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2009</w:t>
            </w:r>
          </w:p>
        </w:tc>
        <w:tc>
          <w:tcPr>
            <w:tcW w:w="104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2010</w:t>
            </w:r>
          </w:p>
        </w:tc>
        <w:tc>
          <w:tcPr>
            <w:tcW w:w="104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2011</w:t>
            </w:r>
          </w:p>
        </w:tc>
        <w:tc>
          <w:tcPr>
            <w:tcW w:w="1041"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2012</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Average % of Total Revenue</w:t>
            </w:r>
          </w:p>
        </w:tc>
      </w:tr>
      <w:tr w:rsidR="001D1720" w:rsidRPr="00AE2D11" w:rsidTr="00D9585A">
        <w:trPr>
          <w:trHeight w:val="300"/>
        </w:trPr>
        <w:tc>
          <w:tcPr>
            <w:tcW w:w="27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2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r>
      <w:tr w:rsidR="001D1720" w:rsidRPr="00AE2D11" w:rsidTr="00D9585A">
        <w:trPr>
          <w:trHeight w:val="281"/>
        </w:trPr>
        <w:tc>
          <w:tcPr>
            <w:tcW w:w="27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041"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c>
          <w:tcPr>
            <w:tcW w:w="12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p>
        </w:tc>
      </w:tr>
      <w:tr w:rsidR="001D1720" w:rsidRPr="00AE2D11" w:rsidTr="00D9585A">
        <w:trPr>
          <w:trHeight w:val="315"/>
        </w:trPr>
        <w:tc>
          <w:tcPr>
            <w:tcW w:w="2720" w:type="dxa"/>
            <w:tcBorders>
              <w:top w:val="nil"/>
              <w:left w:val="single" w:sz="8" w:space="0" w:color="auto"/>
              <w:bottom w:val="single" w:sz="4" w:space="0" w:color="auto"/>
              <w:right w:val="nil"/>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I : Total Current Revenues</w:t>
            </w:r>
          </w:p>
        </w:tc>
        <w:tc>
          <w:tcPr>
            <w:tcW w:w="1041" w:type="dxa"/>
            <w:tcBorders>
              <w:top w:val="nil"/>
              <w:left w:val="single" w:sz="8" w:space="0" w:color="auto"/>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98.94%</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99.25%</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97.85%</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97.93%</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97.91%</w:t>
            </w:r>
          </w:p>
        </w:tc>
        <w:tc>
          <w:tcPr>
            <w:tcW w:w="1041"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90.11%</w:t>
            </w:r>
          </w:p>
        </w:tc>
        <w:tc>
          <w:tcPr>
            <w:tcW w:w="1200"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97.00%</w:t>
            </w:r>
          </w:p>
        </w:tc>
      </w:tr>
      <w:tr w:rsidR="001D1720" w:rsidRPr="00AE2D11" w:rsidTr="00D9585A">
        <w:trPr>
          <w:trHeight w:val="315"/>
        </w:trPr>
        <w:tc>
          <w:tcPr>
            <w:tcW w:w="2720" w:type="dxa"/>
            <w:tcBorders>
              <w:top w:val="nil"/>
              <w:left w:val="single" w:sz="8" w:space="0" w:color="auto"/>
              <w:bottom w:val="single" w:sz="4" w:space="0" w:color="auto"/>
              <w:right w:val="nil"/>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 xml:space="preserve">   Current Revenues</w:t>
            </w:r>
          </w:p>
        </w:tc>
        <w:tc>
          <w:tcPr>
            <w:tcW w:w="1041" w:type="dxa"/>
            <w:tcBorders>
              <w:top w:val="nil"/>
              <w:left w:val="single" w:sz="8" w:space="0" w:color="auto"/>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98.94%</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99.25%</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97.85%</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97.93%</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97.91%</w:t>
            </w:r>
          </w:p>
        </w:tc>
        <w:tc>
          <w:tcPr>
            <w:tcW w:w="1041"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90.11%</w:t>
            </w:r>
          </w:p>
        </w:tc>
        <w:tc>
          <w:tcPr>
            <w:tcW w:w="1200"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97.00%</w:t>
            </w:r>
          </w:p>
        </w:tc>
      </w:tr>
      <w:tr w:rsidR="001D1720" w:rsidRPr="00AE2D11" w:rsidTr="00D9585A">
        <w:trPr>
          <w:trHeight w:val="315"/>
        </w:trPr>
        <w:tc>
          <w:tcPr>
            <w:tcW w:w="2720" w:type="dxa"/>
            <w:tcBorders>
              <w:top w:val="nil"/>
              <w:left w:val="single" w:sz="8" w:space="0" w:color="auto"/>
              <w:bottom w:val="nil"/>
              <w:right w:val="nil"/>
            </w:tcBorders>
            <w:shd w:val="clear" w:color="auto" w:fill="D9D9D9" w:themeFill="background1" w:themeFillShade="D9"/>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 xml:space="preserve">      Tax Revenues</w:t>
            </w:r>
          </w:p>
        </w:tc>
        <w:tc>
          <w:tcPr>
            <w:tcW w:w="1041"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22.07%</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18.63%</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31.36%</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25.09%</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21.81%</w:t>
            </w:r>
          </w:p>
        </w:tc>
        <w:tc>
          <w:tcPr>
            <w:tcW w:w="1041" w:type="dxa"/>
            <w:tcBorders>
              <w:top w:val="nil"/>
              <w:left w:val="nil"/>
              <w:bottom w:val="single" w:sz="4" w:space="0" w:color="auto"/>
              <w:right w:val="single" w:sz="8"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24.26%</w:t>
            </w:r>
          </w:p>
        </w:tc>
        <w:tc>
          <w:tcPr>
            <w:tcW w:w="1200" w:type="dxa"/>
            <w:tcBorders>
              <w:top w:val="nil"/>
              <w:left w:val="nil"/>
              <w:bottom w:val="single" w:sz="4" w:space="0" w:color="auto"/>
              <w:right w:val="single" w:sz="8"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23.87%</w:t>
            </w:r>
          </w:p>
        </w:tc>
      </w:tr>
      <w:tr w:rsidR="001D1720" w:rsidRPr="00AE2D11" w:rsidTr="00D9585A">
        <w:trPr>
          <w:trHeight w:val="315"/>
        </w:trPr>
        <w:tc>
          <w:tcPr>
            <w:tcW w:w="2720" w:type="dxa"/>
            <w:tcBorders>
              <w:top w:val="single" w:sz="4" w:space="0" w:color="auto"/>
              <w:left w:val="single" w:sz="8" w:space="0" w:color="auto"/>
              <w:bottom w:val="nil"/>
              <w:right w:val="nil"/>
            </w:tcBorders>
            <w:shd w:val="clear" w:color="auto" w:fill="D9D9D9" w:themeFill="background1" w:themeFillShade="D9"/>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lastRenderedPageBreak/>
              <w:t xml:space="preserve">     Oil and Gas Revenues</w:t>
            </w:r>
          </w:p>
        </w:tc>
        <w:tc>
          <w:tcPr>
            <w:tcW w:w="1041"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66.33%</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73.08%</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54.80%</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60.15%</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67.94%</w:t>
            </w:r>
          </w:p>
        </w:tc>
        <w:tc>
          <w:tcPr>
            <w:tcW w:w="1041" w:type="dxa"/>
            <w:tcBorders>
              <w:top w:val="nil"/>
              <w:left w:val="nil"/>
              <w:bottom w:val="single" w:sz="4" w:space="0" w:color="auto"/>
              <w:right w:val="single" w:sz="8"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51.36%</w:t>
            </w:r>
          </w:p>
        </w:tc>
        <w:tc>
          <w:tcPr>
            <w:tcW w:w="1200" w:type="dxa"/>
            <w:tcBorders>
              <w:top w:val="nil"/>
              <w:left w:val="nil"/>
              <w:bottom w:val="single" w:sz="4" w:space="0" w:color="auto"/>
              <w:right w:val="single" w:sz="8" w:space="0" w:color="auto"/>
            </w:tcBorders>
            <w:shd w:val="clear" w:color="auto" w:fill="D9D9D9" w:themeFill="background1" w:themeFillShade="D9"/>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62.28%</w:t>
            </w:r>
          </w:p>
        </w:tc>
      </w:tr>
      <w:tr w:rsidR="001D1720" w:rsidRPr="00AE2D11" w:rsidTr="00D9585A">
        <w:trPr>
          <w:trHeight w:val="630"/>
        </w:trPr>
        <w:tc>
          <w:tcPr>
            <w:tcW w:w="2720" w:type="dxa"/>
            <w:tcBorders>
              <w:top w:val="single" w:sz="4" w:space="0" w:color="auto"/>
              <w:left w:val="single" w:sz="8" w:space="0" w:color="auto"/>
              <w:bottom w:val="nil"/>
              <w:right w:val="nil"/>
            </w:tcBorders>
            <w:shd w:val="clear" w:color="auto" w:fill="auto"/>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 xml:space="preserve">   Other Non-Tax Current Revenues</w:t>
            </w:r>
          </w:p>
        </w:tc>
        <w:tc>
          <w:tcPr>
            <w:tcW w:w="1041" w:type="dxa"/>
            <w:tcBorders>
              <w:top w:val="nil"/>
              <w:left w:val="single" w:sz="8" w:space="0" w:color="auto"/>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10.54%</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7.54%</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11.69%</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12.69%</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8.15%</w:t>
            </w:r>
          </w:p>
        </w:tc>
        <w:tc>
          <w:tcPr>
            <w:tcW w:w="1041"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14.48%</w:t>
            </w:r>
          </w:p>
        </w:tc>
        <w:tc>
          <w:tcPr>
            <w:tcW w:w="1200"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10.85%</w:t>
            </w:r>
          </w:p>
        </w:tc>
      </w:tr>
      <w:tr w:rsidR="001D1720" w:rsidRPr="00AE2D11" w:rsidTr="00D9585A">
        <w:trPr>
          <w:trHeight w:val="630"/>
        </w:trPr>
        <w:tc>
          <w:tcPr>
            <w:tcW w:w="2720" w:type="dxa"/>
            <w:tcBorders>
              <w:top w:val="single" w:sz="4" w:space="0" w:color="auto"/>
              <w:left w:val="single" w:sz="8" w:space="0" w:color="auto"/>
              <w:bottom w:val="single" w:sz="4" w:space="0" w:color="auto"/>
              <w:right w:val="nil"/>
            </w:tcBorders>
            <w:shd w:val="clear" w:color="auto" w:fill="auto"/>
            <w:vAlign w:val="center"/>
            <w:hideMark/>
          </w:tcPr>
          <w:p w:rsidR="001D1720" w:rsidRPr="00AE2D11" w:rsidRDefault="001D1720" w:rsidP="001D1720">
            <w:pPr>
              <w:spacing w:after="0" w:line="240" w:lineRule="auto"/>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 xml:space="preserve"> Current Revenues &amp; Transfers</w:t>
            </w:r>
          </w:p>
        </w:tc>
        <w:tc>
          <w:tcPr>
            <w:tcW w:w="1041" w:type="dxa"/>
            <w:tcBorders>
              <w:top w:val="nil"/>
              <w:left w:val="single" w:sz="8" w:space="0" w:color="auto"/>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c>
          <w:tcPr>
            <w:tcW w:w="1041"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c>
          <w:tcPr>
            <w:tcW w:w="1200"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r>
      <w:tr w:rsidR="001D1720" w:rsidRPr="00AE2D11" w:rsidTr="00D9585A">
        <w:trPr>
          <w:trHeight w:val="120"/>
        </w:trPr>
        <w:tc>
          <w:tcPr>
            <w:tcW w:w="2720" w:type="dxa"/>
            <w:tcBorders>
              <w:top w:val="nil"/>
              <w:left w:val="single" w:sz="8" w:space="0" w:color="auto"/>
              <w:bottom w:val="nil"/>
              <w:right w:val="nil"/>
            </w:tcBorders>
            <w:shd w:val="clear" w:color="auto" w:fill="auto"/>
            <w:noWrap/>
            <w:vAlign w:val="bottom"/>
            <w:hideMark/>
          </w:tcPr>
          <w:p w:rsidR="001D1720" w:rsidRPr="00AE2D11" w:rsidRDefault="001D1720" w:rsidP="001D1720">
            <w:pPr>
              <w:spacing w:after="0" w:line="240" w:lineRule="auto"/>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 </w:t>
            </w:r>
          </w:p>
        </w:tc>
        <w:tc>
          <w:tcPr>
            <w:tcW w:w="1041" w:type="dxa"/>
            <w:tcBorders>
              <w:top w:val="nil"/>
              <w:left w:val="single" w:sz="8" w:space="0" w:color="auto"/>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 </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 </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 </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 </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 </w:t>
            </w:r>
          </w:p>
        </w:tc>
        <w:tc>
          <w:tcPr>
            <w:tcW w:w="1041"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 </w:t>
            </w:r>
          </w:p>
        </w:tc>
        <w:tc>
          <w:tcPr>
            <w:tcW w:w="1200"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 </w:t>
            </w:r>
          </w:p>
        </w:tc>
      </w:tr>
      <w:tr w:rsidR="001D1720" w:rsidRPr="00AE2D11" w:rsidTr="00D9585A">
        <w:trPr>
          <w:trHeight w:val="630"/>
        </w:trPr>
        <w:tc>
          <w:tcPr>
            <w:tcW w:w="2720" w:type="dxa"/>
            <w:tcBorders>
              <w:top w:val="single" w:sz="4" w:space="0" w:color="auto"/>
              <w:left w:val="single" w:sz="8" w:space="0" w:color="auto"/>
              <w:bottom w:val="nil"/>
              <w:right w:val="nil"/>
            </w:tcBorders>
            <w:shd w:val="clear" w:color="auto" w:fill="auto"/>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II : Capital Revenues And Grants Of which:</w:t>
            </w:r>
          </w:p>
        </w:tc>
        <w:tc>
          <w:tcPr>
            <w:tcW w:w="1041" w:type="dxa"/>
            <w:tcBorders>
              <w:top w:val="nil"/>
              <w:left w:val="single" w:sz="8" w:space="0" w:color="auto"/>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1.06%</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0.75%</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2.15%</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1.89%</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2.09%</w:t>
            </w:r>
          </w:p>
        </w:tc>
        <w:tc>
          <w:tcPr>
            <w:tcW w:w="1041"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9.89%</w:t>
            </w:r>
          </w:p>
        </w:tc>
        <w:tc>
          <w:tcPr>
            <w:tcW w:w="1200"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2.97%</w:t>
            </w:r>
          </w:p>
        </w:tc>
      </w:tr>
      <w:tr w:rsidR="001D1720" w:rsidRPr="00AE2D11" w:rsidTr="00D9585A">
        <w:trPr>
          <w:trHeight w:val="645"/>
        </w:trPr>
        <w:tc>
          <w:tcPr>
            <w:tcW w:w="2720" w:type="dxa"/>
            <w:tcBorders>
              <w:top w:val="single" w:sz="4" w:space="0" w:color="000000"/>
              <w:left w:val="single" w:sz="8" w:space="0" w:color="auto"/>
              <w:bottom w:val="double" w:sz="6" w:space="0" w:color="auto"/>
              <w:right w:val="nil"/>
            </w:tcBorders>
            <w:shd w:val="clear" w:color="auto" w:fill="auto"/>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 xml:space="preserve">Domestic Borrowing and Bonds </w:t>
            </w:r>
          </w:p>
        </w:tc>
        <w:tc>
          <w:tcPr>
            <w:tcW w:w="1041" w:type="dxa"/>
            <w:tcBorders>
              <w:top w:val="nil"/>
              <w:left w:val="single" w:sz="8" w:space="0" w:color="auto"/>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0.18%</w:t>
            </w:r>
          </w:p>
        </w:tc>
        <w:tc>
          <w:tcPr>
            <w:tcW w:w="1041" w:type="dxa"/>
            <w:tcBorders>
              <w:top w:val="nil"/>
              <w:left w:val="nil"/>
              <w:bottom w:val="single" w:sz="4"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c>
          <w:tcPr>
            <w:tcW w:w="1041"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0.00%</w:t>
            </w:r>
          </w:p>
        </w:tc>
        <w:tc>
          <w:tcPr>
            <w:tcW w:w="1200" w:type="dxa"/>
            <w:tcBorders>
              <w:top w:val="nil"/>
              <w:left w:val="nil"/>
              <w:bottom w:val="single" w:sz="4"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color w:val="000000" w:themeColor="text1"/>
              </w:rPr>
            </w:pPr>
            <w:r w:rsidRPr="00AE2D11">
              <w:rPr>
                <w:rFonts w:asciiTheme="majorHAnsi" w:eastAsia="Times New Roman" w:hAnsiTheme="majorHAnsi" w:cstheme="majorBidi"/>
                <w:color w:val="000000" w:themeColor="text1"/>
              </w:rPr>
              <w:t>0.03%</w:t>
            </w:r>
          </w:p>
        </w:tc>
      </w:tr>
      <w:tr w:rsidR="001D1720" w:rsidRPr="00AE2D11" w:rsidTr="00D9585A">
        <w:trPr>
          <w:trHeight w:val="660"/>
        </w:trPr>
        <w:tc>
          <w:tcPr>
            <w:tcW w:w="2720" w:type="dxa"/>
            <w:tcBorders>
              <w:top w:val="nil"/>
              <w:left w:val="single" w:sz="8" w:space="0" w:color="auto"/>
              <w:bottom w:val="single" w:sz="8" w:space="0" w:color="auto"/>
              <w:right w:val="nil"/>
            </w:tcBorders>
            <w:shd w:val="clear" w:color="auto" w:fill="auto"/>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Total Revenues And Grants</w:t>
            </w:r>
          </w:p>
        </w:tc>
        <w:tc>
          <w:tcPr>
            <w:tcW w:w="1041" w:type="dxa"/>
            <w:tcBorders>
              <w:top w:val="nil"/>
              <w:left w:val="single" w:sz="8" w:space="0" w:color="auto"/>
              <w:bottom w:val="single" w:sz="8"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100.00%</w:t>
            </w:r>
          </w:p>
        </w:tc>
        <w:tc>
          <w:tcPr>
            <w:tcW w:w="1041" w:type="dxa"/>
            <w:tcBorders>
              <w:top w:val="nil"/>
              <w:left w:val="nil"/>
              <w:bottom w:val="single" w:sz="8"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100.00%</w:t>
            </w:r>
          </w:p>
        </w:tc>
        <w:tc>
          <w:tcPr>
            <w:tcW w:w="1041" w:type="dxa"/>
            <w:tcBorders>
              <w:top w:val="nil"/>
              <w:left w:val="nil"/>
              <w:bottom w:val="single" w:sz="8"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100.00%</w:t>
            </w:r>
          </w:p>
        </w:tc>
        <w:tc>
          <w:tcPr>
            <w:tcW w:w="1041" w:type="dxa"/>
            <w:tcBorders>
              <w:top w:val="nil"/>
              <w:left w:val="nil"/>
              <w:bottom w:val="single" w:sz="8"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100.00%</w:t>
            </w:r>
          </w:p>
        </w:tc>
        <w:tc>
          <w:tcPr>
            <w:tcW w:w="1041" w:type="dxa"/>
            <w:tcBorders>
              <w:top w:val="nil"/>
              <w:left w:val="nil"/>
              <w:bottom w:val="single" w:sz="8" w:space="0" w:color="auto"/>
              <w:right w:val="single" w:sz="4"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100.00%</w:t>
            </w:r>
          </w:p>
        </w:tc>
        <w:tc>
          <w:tcPr>
            <w:tcW w:w="1041" w:type="dxa"/>
            <w:tcBorders>
              <w:top w:val="nil"/>
              <w:left w:val="nil"/>
              <w:bottom w:val="single" w:sz="8"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100.00%</w:t>
            </w:r>
          </w:p>
        </w:tc>
        <w:tc>
          <w:tcPr>
            <w:tcW w:w="1200" w:type="dxa"/>
            <w:tcBorders>
              <w:top w:val="nil"/>
              <w:left w:val="nil"/>
              <w:bottom w:val="single" w:sz="8" w:space="0" w:color="auto"/>
              <w:right w:val="single" w:sz="8" w:space="0" w:color="auto"/>
            </w:tcBorders>
            <w:shd w:val="clear" w:color="auto" w:fill="auto"/>
            <w:noWrap/>
            <w:vAlign w:val="center"/>
            <w:hideMark/>
          </w:tcPr>
          <w:p w:rsidR="001D1720" w:rsidRPr="00AE2D11" w:rsidRDefault="001D1720" w:rsidP="001D1720">
            <w:pPr>
              <w:spacing w:after="0" w:line="240" w:lineRule="auto"/>
              <w:jc w:val="center"/>
              <w:rPr>
                <w:rFonts w:asciiTheme="majorHAnsi" w:eastAsia="Times New Roman" w:hAnsiTheme="majorHAnsi" w:cstheme="majorBidi"/>
                <w:b/>
                <w:bCs/>
                <w:color w:val="000000" w:themeColor="text1"/>
              </w:rPr>
            </w:pPr>
            <w:r w:rsidRPr="00AE2D11">
              <w:rPr>
                <w:rFonts w:asciiTheme="majorHAnsi" w:eastAsia="Times New Roman" w:hAnsiTheme="majorHAnsi" w:cstheme="majorBidi"/>
                <w:b/>
                <w:bCs/>
                <w:color w:val="000000" w:themeColor="text1"/>
              </w:rPr>
              <w:t>100.00%</w:t>
            </w:r>
          </w:p>
        </w:tc>
      </w:tr>
    </w:tbl>
    <w:p w:rsidR="00F70A0C" w:rsidRDefault="00F70A0C" w:rsidP="009B50B6">
      <w:pPr>
        <w:rPr>
          <w:rFonts w:asciiTheme="majorHAnsi" w:hAnsiTheme="majorHAnsi" w:cstheme="majorBidi"/>
          <w:b/>
          <w:bCs/>
          <w:sz w:val="24"/>
          <w:szCs w:val="24"/>
          <w:highlight w:val="yellow"/>
        </w:rPr>
      </w:pPr>
    </w:p>
    <w:p w:rsidR="00961664" w:rsidRPr="0072532F" w:rsidRDefault="002F0DB5" w:rsidP="009B50B6">
      <w:pPr>
        <w:rPr>
          <w:rFonts w:asciiTheme="majorHAnsi" w:hAnsiTheme="majorHAnsi" w:cstheme="majorBidi"/>
          <w:b/>
          <w:bCs/>
          <w:sz w:val="24"/>
          <w:szCs w:val="24"/>
        </w:rPr>
      </w:pPr>
      <w:r w:rsidRPr="000C3725">
        <w:rPr>
          <w:rFonts w:asciiTheme="majorHAnsi" w:hAnsiTheme="majorHAnsi" w:cstheme="majorBidi"/>
          <w:b/>
          <w:bCs/>
          <w:sz w:val="24"/>
          <w:szCs w:val="24"/>
        </w:rPr>
        <w:t>I) Tax</w:t>
      </w:r>
      <w:r w:rsidR="000C3725">
        <w:rPr>
          <w:rFonts w:asciiTheme="majorHAnsi" w:hAnsiTheme="majorHAnsi" w:cstheme="majorBidi"/>
          <w:b/>
          <w:bCs/>
          <w:sz w:val="24"/>
          <w:szCs w:val="24"/>
        </w:rPr>
        <w:t xml:space="preserve"> Revenues</w:t>
      </w:r>
    </w:p>
    <w:p w:rsidR="000E598A" w:rsidRDefault="00E70276" w:rsidP="008D71F9">
      <w:pPr>
        <w:spacing w:line="480" w:lineRule="auto"/>
        <w:ind w:firstLine="709"/>
        <w:rPr>
          <w:rFonts w:asciiTheme="majorHAnsi" w:hAnsiTheme="majorHAnsi" w:cstheme="majorBidi"/>
          <w:sz w:val="24"/>
          <w:szCs w:val="24"/>
        </w:rPr>
      </w:pPr>
      <w:r w:rsidRPr="000E598A">
        <w:rPr>
          <w:rFonts w:asciiTheme="majorHAnsi" w:hAnsiTheme="majorHAnsi" w:cs="Times New Roman"/>
          <w:sz w:val="24"/>
          <w:szCs w:val="24"/>
        </w:rPr>
        <w:t>On a</w:t>
      </w:r>
      <w:r w:rsidR="00DA108E" w:rsidRPr="000E598A">
        <w:rPr>
          <w:rFonts w:asciiTheme="majorHAnsi" w:hAnsiTheme="majorHAnsi" w:cs="Times New Roman"/>
          <w:sz w:val="24"/>
          <w:szCs w:val="24"/>
        </w:rPr>
        <w:t xml:space="preserve">5-year </w:t>
      </w:r>
      <w:r w:rsidRPr="000E598A">
        <w:rPr>
          <w:rFonts w:asciiTheme="majorHAnsi" w:hAnsiTheme="majorHAnsi" w:cs="Times New Roman"/>
          <w:sz w:val="24"/>
          <w:szCs w:val="24"/>
        </w:rPr>
        <w:t>historical average, tax revenues</w:t>
      </w:r>
      <w:r w:rsidR="003A49DA" w:rsidRPr="000E598A">
        <w:rPr>
          <w:rFonts w:asciiTheme="majorHAnsi" w:hAnsiTheme="majorHAnsi" w:cs="Times New Roman"/>
          <w:sz w:val="24"/>
          <w:szCs w:val="24"/>
        </w:rPr>
        <w:t xml:space="preserve"> represent </w:t>
      </w:r>
      <w:r w:rsidR="001C1646" w:rsidRPr="000E598A">
        <w:rPr>
          <w:rFonts w:asciiTheme="majorHAnsi" w:hAnsiTheme="majorHAnsi" w:cs="Times New Roman"/>
          <w:sz w:val="24"/>
          <w:szCs w:val="24"/>
        </w:rPr>
        <w:t>24% of total Revenues and Grants</w:t>
      </w:r>
      <w:r w:rsidR="008E09F7" w:rsidRPr="000E598A">
        <w:rPr>
          <w:rFonts w:asciiTheme="majorHAnsi" w:hAnsiTheme="majorHAnsi" w:cs="Times New Roman"/>
          <w:sz w:val="24"/>
          <w:szCs w:val="24"/>
        </w:rPr>
        <w:t xml:space="preserve"> or</w:t>
      </w:r>
      <w:r w:rsidR="00226869" w:rsidRPr="000E598A">
        <w:rPr>
          <w:rFonts w:asciiTheme="majorHAnsi" w:hAnsiTheme="majorHAnsi" w:cs="Times New Roman"/>
          <w:sz w:val="24"/>
          <w:szCs w:val="24"/>
        </w:rPr>
        <w:t xml:space="preserve"> 6.4%</w:t>
      </w:r>
      <w:r w:rsidRPr="000E598A">
        <w:rPr>
          <w:rFonts w:asciiTheme="majorHAnsi" w:hAnsiTheme="majorHAnsi" w:cs="Times New Roman"/>
          <w:sz w:val="24"/>
          <w:szCs w:val="24"/>
        </w:rPr>
        <w:t xml:space="preserve"> of GDP with an average growth rate of </w:t>
      </w:r>
      <w:r w:rsidR="006863F5" w:rsidRPr="000E598A">
        <w:rPr>
          <w:rFonts w:asciiTheme="majorHAnsi" w:hAnsiTheme="majorHAnsi" w:cs="Times New Roman"/>
          <w:sz w:val="24"/>
          <w:szCs w:val="24"/>
        </w:rPr>
        <w:t>11</w:t>
      </w:r>
      <w:r w:rsidRPr="000E598A">
        <w:rPr>
          <w:rFonts w:asciiTheme="majorHAnsi" w:hAnsiTheme="majorHAnsi" w:cs="Times New Roman"/>
          <w:sz w:val="24"/>
          <w:szCs w:val="24"/>
        </w:rPr>
        <w:t>%</w:t>
      </w:r>
      <w:r w:rsidR="001C1646" w:rsidRPr="000E598A">
        <w:rPr>
          <w:rFonts w:asciiTheme="majorHAnsi" w:hAnsiTheme="majorHAnsi" w:cs="Times New Roman"/>
          <w:sz w:val="24"/>
          <w:szCs w:val="24"/>
        </w:rPr>
        <w:t xml:space="preserve">.  </w:t>
      </w:r>
      <w:r w:rsidRPr="000E598A">
        <w:rPr>
          <w:rFonts w:asciiTheme="majorHAnsi" w:hAnsiTheme="majorHAnsi" w:cs="Times New Roman"/>
          <w:sz w:val="24"/>
          <w:szCs w:val="24"/>
        </w:rPr>
        <w:t xml:space="preserve">Central authority collects an average 96% of total tax revenues </w:t>
      </w:r>
      <w:r w:rsidR="006863F5" w:rsidRPr="000E598A">
        <w:rPr>
          <w:rFonts w:asciiTheme="majorHAnsi" w:hAnsiTheme="majorHAnsi" w:cs="Times New Roman"/>
          <w:sz w:val="24"/>
          <w:szCs w:val="24"/>
        </w:rPr>
        <w:t xml:space="preserve">and growing at </w:t>
      </w:r>
      <w:r w:rsidR="009B02B7" w:rsidRPr="000E598A">
        <w:rPr>
          <w:rFonts w:asciiTheme="majorHAnsi" w:hAnsiTheme="majorHAnsi" w:cs="Times New Roman"/>
          <w:sz w:val="24"/>
          <w:szCs w:val="24"/>
        </w:rPr>
        <w:t xml:space="preserve">11% </w:t>
      </w:r>
      <w:r w:rsidR="006863F5" w:rsidRPr="000E598A">
        <w:rPr>
          <w:rFonts w:asciiTheme="majorHAnsi" w:hAnsiTheme="majorHAnsi" w:cs="Times New Roman"/>
          <w:sz w:val="24"/>
          <w:szCs w:val="24"/>
        </w:rPr>
        <w:t>annually. T</w:t>
      </w:r>
      <w:r w:rsidRPr="000E598A">
        <w:rPr>
          <w:rFonts w:asciiTheme="majorHAnsi" w:hAnsiTheme="majorHAnsi" w:cs="Times New Roman"/>
          <w:sz w:val="24"/>
          <w:szCs w:val="24"/>
        </w:rPr>
        <w:t xml:space="preserve">he remaining 4% </w:t>
      </w:r>
      <w:r w:rsidR="006863F5" w:rsidRPr="000E598A">
        <w:rPr>
          <w:rFonts w:asciiTheme="majorHAnsi" w:hAnsiTheme="majorHAnsi" w:cs="Times New Roman"/>
          <w:sz w:val="24"/>
          <w:szCs w:val="24"/>
        </w:rPr>
        <w:t xml:space="preserve">of Tax revenues </w:t>
      </w:r>
      <w:r w:rsidRPr="000E598A">
        <w:rPr>
          <w:rFonts w:asciiTheme="majorHAnsi" w:hAnsiTheme="majorHAnsi" w:cs="Times New Roman"/>
          <w:sz w:val="24"/>
          <w:szCs w:val="24"/>
        </w:rPr>
        <w:t>comes from local authority</w:t>
      </w:r>
      <w:r w:rsidR="00211090" w:rsidRPr="000E598A">
        <w:rPr>
          <w:rFonts w:asciiTheme="majorHAnsi" w:hAnsiTheme="majorHAnsi" w:cs="Times New Roman"/>
          <w:sz w:val="24"/>
          <w:szCs w:val="24"/>
        </w:rPr>
        <w:t xml:space="preserve">. </w:t>
      </w:r>
      <w:r w:rsidR="000E598A">
        <w:rPr>
          <w:rFonts w:asciiTheme="majorHAnsi" w:hAnsiTheme="majorHAnsi" w:cstheme="majorBidi"/>
          <w:sz w:val="24"/>
          <w:szCs w:val="24"/>
        </w:rPr>
        <w:t xml:space="preserve">All revenues from taxes </w:t>
      </w:r>
      <w:r w:rsidR="00BF37A9">
        <w:rPr>
          <w:rFonts w:asciiTheme="majorHAnsi" w:hAnsiTheme="majorHAnsi" w:cstheme="majorBidi"/>
          <w:sz w:val="24"/>
          <w:szCs w:val="24"/>
        </w:rPr>
        <w:t>(</w:t>
      </w:r>
      <w:r w:rsidR="008D71F9">
        <w:rPr>
          <w:rFonts w:asciiTheme="majorHAnsi" w:hAnsiTheme="majorHAnsi" w:cstheme="majorBidi"/>
          <w:sz w:val="24"/>
          <w:szCs w:val="24"/>
        </w:rPr>
        <w:t>direct and indi</w:t>
      </w:r>
      <w:r w:rsidR="00BF37A9">
        <w:rPr>
          <w:rFonts w:asciiTheme="majorHAnsi" w:hAnsiTheme="majorHAnsi" w:cstheme="majorBidi"/>
          <w:sz w:val="24"/>
          <w:szCs w:val="24"/>
        </w:rPr>
        <w:t>rect</w:t>
      </w:r>
      <w:r w:rsidR="000E598A">
        <w:rPr>
          <w:rFonts w:asciiTheme="majorHAnsi" w:hAnsiTheme="majorHAnsi" w:cstheme="majorBidi"/>
          <w:sz w:val="24"/>
          <w:szCs w:val="24"/>
        </w:rPr>
        <w:t xml:space="preserve"> tax revenues) are NOT linked to fund  certain expenditures or programs. All taxes are considered general purpose taxes.</w:t>
      </w:r>
    </w:p>
    <w:p w:rsidR="00D35B4F" w:rsidRDefault="001C1646" w:rsidP="00BF37A9">
      <w:pPr>
        <w:spacing w:line="480" w:lineRule="auto"/>
        <w:ind w:firstLine="709"/>
        <w:rPr>
          <w:rFonts w:asciiTheme="majorHAnsi" w:hAnsiTheme="majorHAnsi" w:cs="Times New Roman"/>
          <w:sz w:val="24"/>
          <w:szCs w:val="24"/>
        </w:rPr>
      </w:pPr>
      <w:r w:rsidRPr="000E598A">
        <w:rPr>
          <w:rFonts w:asciiTheme="majorHAnsi" w:hAnsiTheme="majorHAnsi" w:cs="Times New Roman"/>
          <w:sz w:val="24"/>
          <w:szCs w:val="24"/>
        </w:rPr>
        <w:t xml:space="preserve">The major types of taxes are: </w:t>
      </w:r>
      <w:r w:rsidR="009B02B7" w:rsidRPr="000E598A">
        <w:rPr>
          <w:rFonts w:asciiTheme="majorHAnsi" w:hAnsiTheme="majorHAnsi" w:cs="Times New Roman"/>
          <w:sz w:val="24"/>
          <w:szCs w:val="24"/>
        </w:rPr>
        <w:t xml:space="preserve">a) </w:t>
      </w:r>
      <w:r w:rsidR="009B02B7" w:rsidRPr="000E598A">
        <w:rPr>
          <w:rFonts w:asciiTheme="majorHAnsi" w:hAnsiTheme="majorHAnsi" w:cs="Times New Roman"/>
          <w:sz w:val="24"/>
          <w:szCs w:val="24"/>
          <w:u w:val="single"/>
        </w:rPr>
        <w:t xml:space="preserve">Income </w:t>
      </w:r>
      <w:r w:rsidRPr="000E598A">
        <w:rPr>
          <w:rFonts w:asciiTheme="majorHAnsi" w:hAnsiTheme="majorHAnsi" w:cs="Times New Roman"/>
          <w:sz w:val="24"/>
          <w:szCs w:val="24"/>
          <w:u w:val="single"/>
        </w:rPr>
        <w:t>Taxes</w:t>
      </w:r>
      <w:r w:rsidR="009B02B7" w:rsidRPr="000E598A">
        <w:rPr>
          <w:rFonts w:asciiTheme="majorHAnsi" w:hAnsiTheme="majorHAnsi" w:cs="Times New Roman"/>
          <w:sz w:val="24"/>
          <w:szCs w:val="24"/>
        </w:rPr>
        <w:t xml:space="preserve"> (57% of total tax revenues), which mainly come from payroll and profit taxes</w:t>
      </w:r>
      <w:r w:rsidR="00BF37A9">
        <w:rPr>
          <w:rFonts w:asciiTheme="majorHAnsi" w:hAnsiTheme="majorHAnsi" w:cs="Times New Roman"/>
          <w:sz w:val="24"/>
          <w:szCs w:val="24"/>
        </w:rPr>
        <w:t xml:space="preserve"> (direct taxes)</w:t>
      </w:r>
      <w:r w:rsidR="009B02B7" w:rsidRPr="000E598A">
        <w:rPr>
          <w:rFonts w:asciiTheme="majorHAnsi" w:hAnsiTheme="majorHAnsi" w:cs="Times New Roman"/>
          <w:sz w:val="24"/>
          <w:szCs w:val="24"/>
        </w:rPr>
        <w:t xml:space="preserve">; and b) </w:t>
      </w:r>
      <w:r w:rsidR="009B02B7" w:rsidRPr="000E598A">
        <w:rPr>
          <w:rFonts w:asciiTheme="majorHAnsi" w:hAnsiTheme="majorHAnsi" w:cs="Times New Roman"/>
          <w:sz w:val="24"/>
          <w:szCs w:val="24"/>
          <w:u w:val="single"/>
        </w:rPr>
        <w:t>Sales Taxes</w:t>
      </w:r>
      <w:r w:rsidR="009B02B7" w:rsidRPr="000E598A">
        <w:rPr>
          <w:rFonts w:asciiTheme="majorHAnsi" w:hAnsiTheme="majorHAnsi" w:cs="Times New Roman"/>
          <w:sz w:val="24"/>
          <w:szCs w:val="24"/>
        </w:rPr>
        <w:t xml:space="preserve"> (41%</w:t>
      </w:r>
      <w:r w:rsidR="00CD26DA">
        <w:rPr>
          <w:rFonts w:asciiTheme="majorHAnsi" w:hAnsiTheme="majorHAnsi" w:cs="Times New Roman"/>
          <w:sz w:val="24"/>
          <w:szCs w:val="24"/>
        </w:rPr>
        <w:t xml:space="preserve"> of total tax revenues</w:t>
      </w:r>
      <w:r w:rsidR="009B02B7" w:rsidRPr="000E598A">
        <w:rPr>
          <w:rFonts w:asciiTheme="majorHAnsi" w:hAnsiTheme="majorHAnsi" w:cs="Times New Roman"/>
          <w:sz w:val="24"/>
          <w:szCs w:val="24"/>
        </w:rPr>
        <w:t>)</w:t>
      </w:r>
      <w:r w:rsidR="006863F5" w:rsidRPr="000E598A">
        <w:rPr>
          <w:rFonts w:asciiTheme="majorHAnsi" w:hAnsiTheme="majorHAnsi" w:cs="Times New Roman"/>
          <w:sz w:val="24"/>
          <w:szCs w:val="24"/>
        </w:rPr>
        <w:t xml:space="preserve">which </w:t>
      </w:r>
      <w:r w:rsidR="00BF37A9">
        <w:rPr>
          <w:rFonts w:asciiTheme="majorHAnsi" w:hAnsiTheme="majorHAnsi" w:cs="Times New Roman"/>
          <w:sz w:val="24"/>
          <w:szCs w:val="24"/>
        </w:rPr>
        <w:t xml:space="preserve">are considered indirect taxes and </w:t>
      </w:r>
      <w:r w:rsidR="006863F5" w:rsidRPr="000E598A">
        <w:rPr>
          <w:rFonts w:asciiTheme="majorHAnsi" w:hAnsiTheme="majorHAnsi" w:cs="Times New Roman"/>
          <w:sz w:val="24"/>
          <w:szCs w:val="24"/>
        </w:rPr>
        <w:t xml:space="preserve">includes various </w:t>
      </w:r>
      <w:r w:rsidR="00BF37A9" w:rsidRPr="000E598A">
        <w:rPr>
          <w:rFonts w:asciiTheme="majorHAnsi" w:hAnsiTheme="majorHAnsi" w:cs="Times New Roman"/>
          <w:sz w:val="24"/>
          <w:szCs w:val="24"/>
        </w:rPr>
        <w:t>lev</w:t>
      </w:r>
      <w:r w:rsidR="00BF37A9">
        <w:rPr>
          <w:rFonts w:asciiTheme="majorHAnsi" w:hAnsiTheme="majorHAnsi" w:cs="Times New Roman"/>
          <w:sz w:val="24"/>
          <w:szCs w:val="24"/>
        </w:rPr>
        <w:t>ies</w:t>
      </w:r>
      <w:r w:rsidR="006863F5" w:rsidRPr="000E598A">
        <w:rPr>
          <w:rFonts w:asciiTheme="majorHAnsi" w:hAnsiTheme="majorHAnsi" w:cs="Times New Roman"/>
          <w:sz w:val="24"/>
          <w:szCs w:val="24"/>
        </w:rPr>
        <w:t xml:space="preserve"> </w:t>
      </w:r>
      <w:r w:rsidR="009B02B7" w:rsidRPr="000E598A">
        <w:rPr>
          <w:rFonts w:asciiTheme="majorHAnsi" w:hAnsiTheme="majorHAnsi" w:cs="Times New Roman"/>
          <w:sz w:val="24"/>
          <w:szCs w:val="24"/>
        </w:rPr>
        <w:t xml:space="preserve">such as </w:t>
      </w:r>
      <w:r w:rsidR="00BF37A9">
        <w:rPr>
          <w:rFonts w:asciiTheme="majorHAnsi" w:hAnsiTheme="majorHAnsi" w:cs="Times New Roman"/>
          <w:sz w:val="24"/>
          <w:szCs w:val="24"/>
        </w:rPr>
        <w:t xml:space="preserve">Customs Duties, General Sales Tax (GST) on imports and domestic excise(i.e. 90% sales </w:t>
      </w:r>
      <w:r w:rsidR="009B02B7" w:rsidRPr="000E598A">
        <w:rPr>
          <w:rFonts w:asciiTheme="majorHAnsi" w:hAnsiTheme="majorHAnsi" w:cs="Times New Roman"/>
          <w:sz w:val="24"/>
          <w:szCs w:val="24"/>
        </w:rPr>
        <w:t xml:space="preserve">tax on </w:t>
      </w:r>
      <w:r w:rsidR="00BF37A9">
        <w:rPr>
          <w:rFonts w:asciiTheme="majorHAnsi" w:hAnsiTheme="majorHAnsi" w:cs="Times New Roman"/>
          <w:sz w:val="24"/>
          <w:szCs w:val="24"/>
        </w:rPr>
        <w:t>domestic</w:t>
      </w:r>
      <w:r w:rsidR="00BF37A9" w:rsidRPr="000E598A">
        <w:rPr>
          <w:rFonts w:asciiTheme="majorHAnsi" w:hAnsiTheme="majorHAnsi" w:cs="Times New Roman"/>
          <w:sz w:val="24"/>
          <w:szCs w:val="24"/>
        </w:rPr>
        <w:t xml:space="preserve"> </w:t>
      </w:r>
      <w:r w:rsidR="009B02B7" w:rsidRPr="000E598A">
        <w:rPr>
          <w:rFonts w:asciiTheme="majorHAnsi" w:hAnsiTheme="majorHAnsi" w:cs="Times New Roman"/>
          <w:sz w:val="24"/>
          <w:szCs w:val="24"/>
        </w:rPr>
        <w:t>cigarettes</w:t>
      </w:r>
      <w:r w:rsidR="00BF37A9">
        <w:rPr>
          <w:rFonts w:asciiTheme="majorHAnsi" w:hAnsiTheme="majorHAnsi" w:cs="Times New Roman"/>
          <w:sz w:val="24"/>
          <w:szCs w:val="24"/>
        </w:rPr>
        <w:t xml:space="preserve"> and 15% sales tax on telephone services)</w:t>
      </w:r>
      <w:r w:rsidR="009B02B7" w:rsidRPr="000E598A">
        <w:rPr>
          <w:rFonts w:asciiTheme="majorHAnsi" w:hAnsiTheme="majorHAnsi" w:cs="Times New Roman"/>
          <w:sz w:val="24"/>
          <w:szCs w:val="24"/>
        </w:rPr>
        <w:t xml:space="preserve">. </w:t>
      </w:r>
    </w:p>
    <w:p w:rsidR="00BF37A9" w:rsidRPr="000E598A" w:rsidRDefault="00BF37A9" w:rsidP="00BF37A9">
      <w:pPr>
        <w:spacing w:line="480" w:lineRule="auto"/>
        <w:ind w:firstLine="709"/>
        <w:rPr>
          <w:rFonts w:asciiTheme="majorHAnsi" w:hAnsiTheme="majorHAnsi" w:cs="Times New Roman"/>
          <w:sz w:val="24"/>
          <w:szCs w:val="24"/>
        </w:rPr>
      </w:pPr>
    </w:p>
    <w:tbl>
      <w:tblPr>
        <w:tblW w:w="7384" w:type="dxa"/>
        <w:tblInd w:w="95" w:type="dxa"/>
        <w:tblLook w:val="04A0"/>
      </w:tblPr>
      <w:tblGrid>
        <w:gridCol w:w="265"/>
        <w:gridCol w:w="4001"/>
        <w:gridCol w:w="1417"/>
        <w:gridCol w:w="1701"/>
      </w:tblGrid>
      <w:tr w:rsidR="009B02B7" w:rsidRPr="009B02B7" w:rsidTr="0028734B">
        <w:trPr>
          <w:trHeight w:val="300"/>
        </w:trPr>
        <w:tc>
          <w:tcPr>
            <w:tcW w:w="5683" w:type="dxa"/>
            <w:gridSpan w:val="3"/>
            <w:tcBorders>
              <w:top w:val="nil"/>
              <w:left w:val="nil"/>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b/>
                <w:bCs/>
                <w:color w:val="000000"/>
              </w:rPr>
            </w:pPr>
            <w:r w:rsidRPr="009B02B7">
              <w:rPr>
                <w:rFonts w:ascii="Cambria" w:eastAsia="Times New Roman" w:hAnsi="Cambria" w:cs="Times New Roman"/>
                <w:color w:val="000000"/>
              </w:rPr>
              <w:t>Table 7:</w:t>
            </w:r>
            <w:r w:rsidRPr="009B02B7">
              <w:rPr>
                <w:rFonts w:ascii="Cambria" w:eastAsia="Times New Roman" w:hAnsi="Cambria" w:cs="Times New Roman"/>
                <w:b/>
                <w:bCs/>
                <w:i/>
                <w:iCs/>
                <w:color w:val="000000"/>
              </w:rPr>
              <w:t>Average Allocations of Taxes and their Growth Rates</w:t>
            </w:r>
          </w:p>
        </w:tc>
        <w:tc>
          <w:tcPr>
            <w:tcW w:w="1701" w:type="dxa"/>
            <w:tcBorders>
              <w:top w:val="nil"/>
              <w:left w:val="nil"/>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p>
        </w:tc>
      </w:tr>
      <w:tr w:rsidR="009B02B7" w:rsidRPr="009B02B7" w:rsidTr="0028734B">
        <w:trPr>
          <w:trHeight w:val="585"/>
        </w:trPr>
        <w:tc>
          <w:tcPr>
            <w:tcW w:w="426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B02B7" w:rsidRPr="009B02B7" w:rsidRDefault="009B02B7" w:rsidP="009B02B7">
            <w:pPr>
              <w:spacing w:after="0" w:line="240" w:lineRule="auto"/>
              <w:jc w:val="center"/>
              <w:rPr>
                <w:rFonts w:ascii="Cambria" w:eastAsia="Times New Roman" w:hAnsi="Cambria" w:cs="Times New Roman"/>
                <w:b/>
                <w:bCs/>
                <w:color w:val="000000"/>
              </w:rPr>
            </w:pPr>
            <w:r w:rsidRPr="009B02B7">
              <w:rPr>
                <w:rFonts w:ascii="Cambria" w:eastAsia="Times New Roman" w:hAnsi="Cambria" w:cs="Times New Roman"/>
                <w:b/>
                <w:bCs/>
                <w:color w:val="000000"/>
              </w:rPr>
              <w:lastRenderedPageBreak/>
              <w:t>Tax  Item</w:t>
            </w:r>
          </w:p>
        </w:tc>
        <w:tc>
          <w:tcPr>
            <w:tcW w:w="1417" w:type="dxa"/>
            <w:tcBorders>
              <w:top w:val="single" w:sz="8" w:space="0" w:color="auto"/>
              <w:left w:val="nil"/>
              <w:bottom w:val="single" w:sz="8" w:space="0" w:color="auto"/>
              <w:right w:val="nil"/>
            </w:tcBorders>
            <w:shd w:val="clear" w:color="auto" w:fill="auto"/>
            <w:vAlign w:val="center"/>
            <w:hideMark/>
          </w:tcPr>
          <w:p w:rsidR="009B02B7" w:rsidRPr="009B02B7" w:rsidRDefault="0028734B" w:rsidP="009B02B7">
            <w:pPr>
              <w:spacing w:after="0" w:line="240" w:lineRule="auto"/>
              <w:jc w:val="center"/>
              <w:rPr>
                <w:rFonts w:ascii="Cambria" w:eastAsia="Times New Roman" w:hAnsi="Cambria" w:cs="Times New Roman"/>
                <w:b/>
                <w:bCs/>
                <w:color w:val="000000"/>
              </w:rPr>
            </w:pPr>
            <w:r w:rsidRPr="009B02B7">
              <w:rPr>
                <w:rFonts w:ascii="Cambria" w:eastAsia="Times New Roman" w:hAnsi="Cambria" w:cs="Times New Roman"/>
                <w:b/>
                <w:bCs/>
                <w:color w:val="000000"/>
              </w:rPr>
              <w:t>Average</w:t>
            </w:r>
            <w:r w:rsidR="009B02B7" w:rsidRPr="009B02B7">
              <w:rPr>
                <w:rFonts w:ascii="Cambria" w:eastAsia="Times New Roman" w:hAnsi="Cambria" w:cs="Times New Roman"/>
                <w:b/>
                <w:bCs/>
                <w:color w:val="000000"/>
              </w:rPr>
              <w:t xml:space="preserve"> % of Total Tax</w:t>
            </w:r>
          </w:p>
        </w:tc>
        <w:tc>
          <w:tcPr>
            <w:tcW w:w="1701"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9B02B7" w:rsidRPr="009B02B7" w:rsidRDefault="009B02B7" w:rsidP="009B02B7">
            <w:pPr>
              <w:spacing w:after="0" w:line="240" w:lineRule="auto"/>
              <w:jc w:val="center"/>
              <w:rPr>
                <w:rFonts w:ascii="Cambria" w:eastAsia="Times New Roman" w:hAnsi="Cambria" w:cs="Times New Roman"/>
                <w:b/>
                <w:bCs/>
                <w:color w:val="000000"/>
              </w:rPr>
            </w:pPr>
            <w:r w:rsidRPr="009B02B7">
              <w:rPr>
                <w:rFonts w:ascii="Cambria" w:eastAsia="Times New Roman" w:hAnsi="Cambria" w:cs="Times New Roman"/>
                <w:b/>
                <w:bCs/>
                <w:color w:val="000000"/>
              </w:rPr>
              <w:t>5-Year Growth Rate</w:t>
            </w:r>
          </w:p>
        </w:tc>
      </w:tr>
      <w:tr w:rsidR="009B02B7" w:rsidRPr="009B02B7" w:rsidTr="0028734B">
        <w:trPr>
          <w:trHeight w:val="300"/>
        </w:trPr>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b/>
                <w:bCs/>
                <w:color w:val="222222"/>
              </w:rPr>
            </w:pPr>
            <w:r w:rsidRPr="009B02B7">
              <w:rPr>
                <w:rFonts w:ascii="Cambria" w:eastAsia="Times New Roman" w:hAnsi="Cambria" w:cs="Times New Roman"/>
                <w:b/>
                <w:bCs/>
                <w:color w:val="222222"/>
              </w:rPr>
              <w:t>Total Income Taxes</w:t>
            </w:r>
          </w:p>
        </w:tc>
        <w:tc>
          <w:tcPr>
            <w:tcW w:w="1417" w:type="dxa"/>
            <w:tcBorders>
              <w:top w:val="nil"/>
              <w:left w:val="nil"/>
              <w:bottom w:val="single" w:sz="8" w:space="0" w:color="auto"/>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b/>
                <w:bCs/>
                <w:color w:val="000000"/>
              </w:rPr>
            </w:pPr>
            <w:r w:rsidRPr="009B02B7">
              <w:rPr>
                <w:rFonts w:ascii="Cambria" w:eastAsia="Times New Roman" w:hAnsi="Cambria" w:cs="Times New Roman"/>
                <w:b/>
                <w:bCs/>
                <w:color w:val="000000"/>
              </w:rPr>
              <w:t>57%</w:t>
            </w:r>
          </w:p>
        </w:tc>
        <w:tc>
          <w:tcPr>
            <w:tcW w:w="1701" w:type="dxa"/>
            <w:tcBorders>
              <w:top w:val="nil"/>
              <w:left w:val="single" w:sz="8" w:space="0" w:color="auto"/>
              <w:bottom w:val="single" w:sz="8" w:space="0" w:color="auto"/>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b/>
                <w:bCs/>
                <w:color w:val="000000"/>
              </w:rPr>
            </w:pPr>
            <w:r w:rsidRPr="009B02B7">
              <w:rPr>
                <w:rFonts w:ascii="Cambria" w:eastAsia="Times New Roman" w:hAnsi="Cambria" w:cs="Times New Roman"/>
                <w:b/>
                <w:bCs/>
                <w:color w:val="000000"/>
              </w:rPr>
              <w:t>12%</w:t>
            </w:r>
          </w:p>
        </w:tc>
      </w:tr>
      <w:tr w:rsidR="009B02B7" w:rsidRPr="009B02B7" w:rsidTr="0028734B">
        <w:trPr>
          <w:trHeight w:val="285"/>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b/>
                <w:bCs/>
                <w:color w:val="222222"/>
              </w:rPr>
            </w:pPr>
            <w:r w:rsidRPr="009B02B7">
              <w:rPr>
                <w:rFonts w:ascii="Cambria" w:eastAsia="Times New Roman" w:hAnsi="Cambria" w:cs="Times New Roman"/>
                <w:b/>
                <w:bCs/>
                <w:color w:val="222222"/>
              </w:rPr>
              <w:t>Payroll and Wages tax</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24%</w:t>
            </w: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8%</w:t>
            </w:r>
          </w:p>
        </w:tc>
      </w:tr>
      <w:tr w:rsidR="009B02B7" w:rsidRPr="009B02B7" w:rsidTr="0028734B">
        <w:trPr>
          <w:trHeight w:val="285"/>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b/>
                <w:bCs/>
                <w:color w:val="222222"/>
              </w:rPr>
            </w:pPr>
            <w:r w:rsidRPr="009B02B7">
              <w:rPr>
                <w:rFonts w:ascii="Cambria" w:eastAsia="Times New Roman" w:hAnsi="Cambria" w:cs="Times New Roman"/>
                <w:b/>
                <w:bCs/>
                <w:color w:val="222222"/>
              </w:rPr>
              <w:t>Payroll and Wages tax (XXX)</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6%</w:t>
            </w: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8%</w:t>
            </w:r>
          </w:p>
        </w:tc>
      </w:tr>
      <w:tr w:rsidR="009B02B7" w:rsidRPr="009B02B7" w:rsidTr="0028734B">
        <w:trPr>
          <w:trHeight w:val="285"/>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b/>
                <w:bCs/>
                <w:color w:val="222222"/>
              </w:rPr>
            </w:pPr>
            <w:r w:rsidRPr="009B02B7">
              <w:rPr>
                <w:rFonts w:ascii="Cambria" w:eastAsia="Times New Roman" w:hAnsi="Cambria" w:cs="Times New Roman"/>
                <w:b/>
                <w:bCs/>
                <w:color w:val="222222"/>
              </w:rPr>
              <w:t>Payroll and wages tax (XXX members)</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6%</w:t>
            </w: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2%</w:t>
            </w:r>
          </w:p>
        </w:tc>
      </w:tr>
      <w:tr w:rsidR="009B02B7" w:rsidRPr="009B02B7" w:rsidTr="0028734B">
        <w:trPr>
          <w:trHeight w:val="285"/>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222222"/>
              </w:rPr>
            </w:pPr>
            <w:r w:rsidRPr="009B02B7">
              <w:rPr>
                <w:rFonts w:ascii="Cambria" w:eastAsia="Times New Roman" w:hAnsi="Cambria" w:cs="Times New Roman"/>
                <w:color w:val="222222"/>
              </w:rPr>
              <w:t>Profit tax (XXXX)</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8%</w:t>
            </w: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27%</w:t>
            </w:r>
          </w:p>
        </w:tc>
      </w:tr>
      <w:tr w:rsidR="009B02B7" w:rsidRPr="009B02B7" w:rsidTr="0028734B">
        <w:trPr>
          <w:trHeight w:val="285"/>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222222"/>
              </w:rPr>
            </w:pPr>
            <w:r w:rsidRPr="009B02B7">
              <w:rPr>
                <w:rFonts w:ascii="Cambria" w:eastAsia="Times New Roman" w:hAnsi="Cambria" w:cs="Times New Roman"/>
                <w:color w:val="222222"/>
              </w:rPr>
              <w:t xml:space="preserve">Profit Tax on Financial Companies </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5%</w:t>
            </w: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19%</w:t>
            </w:r>
          </w:p>
        </w:tc>
      </w:tr>
      <w:tr w:rsidR="009B02B7" w:rsidRPr="009B02B7" w:rsidTr="0028734B">
        <w:trPr>
          <w:trHeight w:val="300"/>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222222"/>
              </w:rPr>
            </w:pPr>
            <w:r w:rsidRPr="009B02B7">
              <w:rPr>
                <w:rFonts w:ascii="Cambria" w:eastAsia="Times New Roman" w:hAnsi="Cambria" w:cs="Times New Roman"/>
                <w:color w:val="222222"/>
              </w:rPr>
              <w:t>Profits Tax on Individuals</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6%</w:t>
            </w: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11%</w:t>
            </w:r>
          </w:p>
        </w:tc>
      </w:tr>
      <w:tr w:rsidR="009B02B7" w:rsidRPr="009B02B7" w:rsidTr="0028734B">
        <w:trPr>
          <w:trHeight w:val="300"/>
        </w:trPr>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b/>
                <w:bCs/>
                <w:color w:val="222222"/>
              </w:rPr>
            </w:pPr>
            <w:r w:rsidRPr="009B02B7">
              <w:rPr>
                <w:rFonts w:ascii="Cambria" w:eastAsia="Times New Roman" w:hAnsi="Cambria" w:cs="Times New Roman"/>
                <w:b/>
                <w:bCs/>
                <w:color w:val="222222"/>
              </w:rPr>
              <w:t>Total Sales Taxes</w:t>
            </w:r>
          </w:p>
        </w:tc>
        <w:tc>
          <w:tcPr>
            <w:tcW w:w="1417" w:type="dxa"/>
            <w:tcBorders>
              <w:top w:val="single" w:sz="8" w:space="0" w:color="auto"/>
              <w:left w:val="nil"/>
              <w:bottom w:val="single" w:sz="8" w:space="0" w:color="auto"/>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b/>
                <w:bCs/>
                <w:color w:val="000000"/>
              </w:rPr>
            </w:pPr>
            <w:r w:rsidRPr="009B02B7">
              <w:rPr>
                <w:rFonts w:ascii="Cambria" w:eastAsia="Times New Roman" w:hAnsi="Cambria" w:cs="Times New Roman"/>
                <w:b/>
                <w:bCs/>
                <w:color w:val="000000"/>
              </w:rPr>
              <w:t>41%</w:t>
            </w:r>
          </w:p>
        </w:tc>
        <w:tc>
          <w:tcPr>
            <w:tcW w:w="1701"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b/>
                <w:bCs/>
                <w:color w:val="000000"/>
              </w:rPr>
            </w:pPr>
            <w:r w:rsidRPr="009B02B7">
              <w:rPr>
                <w:rFonts w:ascii="Cambria" w:eastAsia="Times New Roman" w:hAnsi="Cambria" w:cs="Times New Roman"/>
                <w:b/>
                <w:bCs/>
                <w:color w:val="000000"/>
              </w:rPr>
              <w:t>10%</w:t>
            </w:r>
          </w:p>
        </w:tc>
      </w:tr>
      <w:tr w:rsidR="009B02B7" w:rsidRPr="009B02B7" w:rsidTr="0028734B">
        <w:trPr>
          <w:trHeight w:val="285"/>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222222"/>
              </w:rPr>
            </w:pPr>
            <w:r w:rsidRPr="009B02B7">
              <w:rPr>
                <w:rFonts w:ascii="Cambria" w:eastAsia="Times New Roman" w:hAnsi="Cambria" w:cs="Times New Roman"/>
                <w:color w:val="222222"/>
              </w:rPr>
              <w:t>Fuel sales tax</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7%</w:t>
            </w: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11%</w:t>
            </w:r>
          </w:p>
        </w:tc>
      </w:tr>
      <w:tr w:rsidR="009B02B7" w:rsidRPr="009B02B7" w:rsidTr="0028734B">
        <w:trPr>
          <w:trHeight w:val="285"/>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222222"/>
              </w:rPr>
            </w:pPr>
            <w:r w:rsidRPr="009B02B7">
              <w:rPr>
                <w:rFonts w:ascii="Cambria" w:eastAsia="Times New Roman" w:hAnsi="Cambria" w:cs="Times New Roman"/>
                <w:color w:val="222222"/>
              </w:rPr>
              <w:t xml:space="preserve">Sales taxes on local </w:t>
            </w:r>
            <w:r w:rsidR="0028734B" w:rsidRPr="009B02B7">
              <w:rPr>
                <w:rFonts w:ascii="Cambria" w:eastAsia="Times New Roman" w:hAnsi="Cambria" w:cs="Times New Roman"/>
                <w:color w:val="222222"/>
              </w:rPr>
              <w:t>cigarettes</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9%</w:t>
            </w: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11%</w:t>
            </w:r>
          </w:p>
        </w:tc>
      </w:tr>
      <w:tr w:rsidR="009B02B7" w:rsidRPr="009B02B7" w:rsidTr="0028734B">
        <w:trPr>
          <w:trHeight w:val="285"/>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222222"/>
              </w:rPr>
            </w:pPr>
            <w:r w:rsidRPr="009B02B7">
              <w:rPr>
                <w:rFonts w:ascii="Cambria" w:eastAsia="Times New Roman" w:hAnsi="Cambria" w:cs="Times New Roman"/>
                <w:color w:val="222222"/>
              </w:rPr>
              <w:t>Industrial products sales tax</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4%</w:t>
            </w: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7%</w:t>
            </w:r>
          </w:p>
        </w:tc>
      </w:tr>
      <w:tr w:rsidR="009B02B7" w:rsidRPr="009B02B7" w:rsidTr="0028734B">
        <w:trPr>
          <w:trHeight w:val="285"/>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BF37A9" w:rsidP="009B02B7">
            <w:pPr>
              <w:spacing w:after="0" w:line="240" w:lineRule="auto"/>
              <w:rPr>
                <w:rFonts w:ascii="Cambria" w:eastAsia="Times New Roman" w:hAnsi="Cambria" w:cs="Times New Roman"/>
                <w:color w:val="222222"/>
              </w:rPr>
            </w:pPr>
            <w:r>
              <w:rPr>
                <w:rFonts w:ascii="Cambria" w:eastAsia="Times New Roman" w:hAnsi="Cambria" w:cs="Times New Roman"/>
                <w:color w:val="222222"/>
              </w:rPr>
              <w:t>GST</w:t>
            </w:r>
            <w:r w:rsidR="009B02B7" w:rsidRPr="009B02B7">
              <w:rPr>
                <w:rFonts w:ascii="Cambria" w:eastAsia="Times New Roman" w:hAnsi="Cambria" w:cs="Times New Roman"/>
                <w:color w:val="222222"/>
              </w:rPr>
              <w:t xml:space="preserve"> on imported goods</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18%</w:t>
            </w: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10%</w:t>
            </w:r>
          </w:p>
        </w:tc>
      </w:tr>
      <w:tr w:rsidR="009B02B7" w:rsidRPr="009B02B7" w:rsidTr="0028734B">
        <w:trPr>
          <w:trHeight w:val="300"/>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222222"/>
              </w:rPr>
            </w:pPr>
            <w:r w:rsidRPr="009B02B7">
              <w:rPr>
                <w:rFonts w:ascii="Cambria" w:eastAsia="Times New Roman" w:hAnsi="Cambria" w:cs="Times New Roman"/>
                <w:color w:val="222222"/>
              </w:rPr>
              <w:t>Sales tax on telephone services</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3%</w:t>
            </w: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11%</w:t>
            </w:r>
          </w:p>
        </w:tc>
      </w:tr>
      <w:tr w:rsidR="009B02B7" w:rsidRPr="009B02B7" w:rsidTr="0028734B">
        <w:trPr>
          <w:trHeight w:val="300"/>
        </w:trPr>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b/>
                <w:bCs/>
                <w:color w:val="222222"/>
              </w:rPr>
            </w:pPr>
            <w:r w:rsidRPr="009B02B7">
              <w:rPr>
                <w:rFonts w:ascii="Cambria" w:eastAsia="Times New Roman" w:hAnsi="Cambria" w:cs="Times New Roman"/>
                <w:b/>
                <w:bCs/>
                <w:color w:val="222222"/>
              </w:rPr>
              <w:t>Total Other Taxes</w:t>
            </w:r>
          </w:p>
        </w:tc>
        <w:tc>
          <w:tcPr>
            <w:tcW w:w="1417" w:type="dxa"/>
            <w:tcBorders>
              <w:top w:val="single" w:sz="8" w:space="0" w:color="auto"/>
              <w:left w:val="nil"/>
              <w:bottom w:val="single" w:sz="8" w:space="0" w:color="auto"/>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b/>
                <w:bCs/>
                <w:color w:val="000000"/>
              </w:rPr>
            </w:pPr>
            <w:r w:rsidRPr="009B02B7">
              <w:rPr>
                <w:rFonts w:ascii="Cambria" w:eastAsia="Times New Roman" w:hAnsi="Cambria" w:cs="Times New Roman"/>
                <w:b/>
                <w:bCs/>
                <w:color w:val="000000"/>
              </w:rPr>
              <w:t>2%</w:t>
            </w:r>
          </w:p>
        </w:tc>
        <w:tc>
          <w:tcPr>
            <w:tcW w:w="1701"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b/>
                <w:bCs/>
                <w:color w:val="000000"/>
              </w:rPr>
            </w:pPr>
            <w:r w:rsidRPr="009B02B7">
              <w:rPr>
                <w:rFonts w:ascii="Cambria" w:eastAsia="Times New Roman" w:hAnsi="Cambria" w:cs="Times New Roman"/>
                <w:b/>
                <w:bCs/>
                <w:color w:val="000000"/>
              </w:rPr>
              <w:t>0%</w:t>
            </w:r>
          </w:p>
        </w:tc>
      </w:tr>
      <w:tr w:rsidR="009B02B7" w:rsidRPr="009B02B7" w:rsidTr="0028734B">
        <w:trPr>
          <w:trHeight w:val="300"/>
        </w:trPr>
        <w:tc>
          <w:tcPr>
            <w:tcW w:w="265" w:type="dxa"/>
            <w:tcBorders>
              <w:top w:val="nil"/>
              <w:left w:val="single" w:sz="8" w:space="0" w:color="auto"/>
              <w:bottom w:val="nil"/>
              <w:right w:val="nil"/>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4001" w:type="dxa"/>
            <w:tcBorders>
              <w:top w:val="nil"/>
              <w:left w:val="nil"/>
              <w:bottom w:val="nil"/>
              <w:right w:val="single" w:sz="8" w:space="0" w:color="auto"/>
            </w:tcBorders>
            <w:shd w:val="clear" w:color="auto" w:fill="auto"/>
            <w:noWrap/>
            <w:vAlign w:val="bottom"/>
            <w:hideMark/>
          </w:tcPr>
          <w:p w:rsidR="009B02B7" w:rsidRPr="009B02B7" w:rsidRDefault="009B02B7" w:rsidP="009B02B7">
            <w:pPr>
              <w:spacing w:after="0" w:line="240" w:lineRule="auto"/>
              <w:rPr>
                <w:rFonts w:ascii="Cambria" w:eastAsia="Times New Roman" w:hAnsi="Cambria" w:cs="Times New Roman"/>
                <w:color w:val="000000"/>
              </w:rPr>
            </w:pPr>
            <w:r w:rsidRPr="009B02B7">
              <w:rPr>
                <w:rFonts w:ascii="Cambria" w:eastAsia="Times New Roman" w:hAnsi="Cambria" w:cs="Times New Roman"/>
                <w:color w:val="000000"/>
              </w:rPr>
              <w:t> </w:t>
            </w:r>
          </w:p>
        </w:tc>
        <w:tc>
          <w:tcPr>
            <w:tcW w:w="1417" w:type="dxa"/>
            <w:tcBorders>
              <w:top w:val="nil"/>
              <w:left w:val="nil"/>
              <w:bottom w:val="nil"/>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p>
        </w:tc>
        <w:tc>
          <w:tcPr>
            <w:tcW w:w="1701" w:type="dxa"/>
            <w:tcBorders>
              <w:top w:val="nil"/>
              <w:left w:val="single" w:sz="8" w:space="0" w:color="auto"/>
              <w:bottom w:val="nil"/>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 </w:t>
            </w:r>
          </w:p>
        </w:tc>
      </w:tr>
      <w:tr w:rsidR="009B02B7" w:rsidRPr="009B02B7" w:rsidTr="0028734B">
        <w:trPr>
          <w:trHeight w:val="300"/>
        </w:trPr>
        <w:tc>
          <w:tcPr>
            <w:tcW w:w="4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02B7" w:rsidRPr="009B02B7" w:rsidRDefault="009B02B7" w:rsidP="009B02B7">
            <w:pPr>
              <w:spacing w:after="0" w:line="240" w:lineRule="auto"/>
              <w:jc w:val="center"/>
              <w:rPr>
                <w:rFonts w:ascii="Cambria" w:eastAsia="Times New Roman" w:hAnsi="Cambria" w:cs="Times New Roman"/>
                <w:b/>
                <w:bCs/>
                <w:color w:val="000000"/>
              </w:rPr>
            </w:pPr>
            <w:r w:rsidRPr="009B02B7">
              <w:rPr>
                <w:rFonts w:ascii="Cambria" w:eastAsia="Times New Roman" w:hAnsi="Cambria" w:cs="Times New Roman"/>
                <w:b/>
                <w:bCs/>
                <w:color w:val="000000"/>
              </w:rPr>
              <w:t>Total Tax</w:t>
            </w:r>
            <w:r w:rsidR="00211090">
              <w:rPr>
                <w:rFonts w:ascii="Cambria" w:eastAsia="Times New Roman" w:hAnsi="Cambria" w:cs="Times New Roman"/>
                <w:b/>
                <w:bCs/>
                <w:color w:val="000000"/>
              </w:rPr>
              <w:t xml:space="preserve"> Revenues</w:t>
            </w:r>
          </w:p>
        </w:tc>
        <w:tc>
          <w:tcPr>
            <w:tcW w:w="1417" w:type="dxa"/>
            <w:tcBorders>
              <w:top w:val="single" w:sz="8" w:space="0" w:color="auto"/>
              <w:left w:val="nil"/>
              <w:bottom w:val="single" w:sz="8" w:space="0" w:color="auto"/>
              <w:right w:val="nil"/>
            </w:tcBorders>
            <w:shd w:val="clear" w:color="auto" w:fill="auto"/>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100%</w:t>
            </w:r>
          </w:p>
        </w:tc>
        <w:tc>
          <w:tcPr>
            <w:tcW w:w="1701"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9B02B7" w:rsidRPr="009B02B7" w:rsidRDefault="009B02B7" w:rsidP="009B02B7">
            <w:pPr>
              <w:spacing w:after="0" w:line="240" w:lineRule="auto"/>
              <w:jc w:val="center"/>
              <w:rPr>
                <w:rFonts w:ascii="Cambria" w:eastAsia="Times New Roman" w:hAnsi="Cambria" w:cs="Times New Roman"/>
                <w:color w:val="000000"/>
              </w:rPr>
            </w:pPr>
            <w:r w:rsidRPr="009B02B7">
              <w:rPr>
                <w:rFonts w:ascii="Cambria" w:eastAsia="Times New Roman" w:hAnsi="Cambria" w:cs="Times New Roman"/>
                <w:color w:val="000000"/>
              </w:rPr>
              <w:t>11%</w:t>
            </w:r>
          </w:p>
        </w:tc>
      </w:tr>
    </w:tbl>
    <w:p w:rsidR="006863F5" w:rsidRDefault="006863F5" w:rsidP="0028734B">
      <w:pPr>
        <w:spacing w:line="480" w:lineRule="auto"/>
        <w:ind w:firstLine="709"/>
        <w:rPr>
          <w:rFonts w:asciiTheme="majorHAnsi" w:hAnsiTheme="majorHAnsi" w:cstheme="majorBidi"/>
          <w:sz w:val="24"/>
          <w:szCs w:val="24"/>
        </w:rPr>
      </w:pPr>
    </w:p>
    <w:p w:rsidR="006A4C82" w:rsidRDefault="006863F5" w:rsidP="0030656B">
      <w:pPr>
        <w:spacing w:line="480" w:lineRule="auto"/>
        <w:ind w:firstLine="709"/>
        <w:rPr>
          <w:rFonts w:asciiTheme="majorHAnsi" w:hAnsiTheme="majorHAnsi" w:cstheme="majorBidi"/>
          <w:sz w:val="24"/>
          <w:szCs w:val="24"/>
        </w:rPr>
      </w:pPr>
      <w:r>
        <w:rPr>
          <w:rFonts w:asciiTheme="majorHAnsi" w:hAnsiTheme="majorHAnsi" w:cstheme="majorBidi"/>
          <w:sz w:val="24"/>
          <w:szCs w:val="24"/>
        </w:rPr>
        <w:t>Since 2007, l</w:t>
      </w:r>
      <w:r w:rsidR="0028734B" w:rsidRPr="00AE2D11">
        <w:rPr>
          <w:rFonts w:asciiTheme="majorHAnsi" w:hAnsiTheme="majorHAnsi" w:cstheme="majorBidi"/>
          <w:sz w:val="24"/>
          <w:szCs w:val="24"/>
        </w:rPr>
        <w:t xml:space="preserve">ocal authority </w:t>
      </w:r>
      <w:r w:rsidR="0028734B">
        <w:rPr>
          <w:rFonts w:asciiTheme="majorHAnsi" w:hAnsiTheme="majorHAnsi" w:cstheme="majorBidi"/>
          <w:sz w:val="24"/>
          <w:szCs w:val="24"/>
        </w:rPr>
        <w:t xml:space="preserve">has </w:t>
      </w:r>
      <w:r>
        <w:rPr>
          <w:rFonts w:asciiTheme="majorHAnsi" w:hAnsiTheme="majorHAnsi" w:cstheme="majorBidi"/>
          <w:sz w:val="24"/>
          <w:szCs w:val="24"/>
        </w:rPr>
        <w:t>been able</w:t>
      </w:r>
      <w:r w:rsidR="0028734B" w:rsidRPr="00AE2D11">
        <w:rPr>
          <w:rFonts w:asciiTheme="majorHAnsi" w:hAnsiTheme="majorHAnsi" w:cstheme="majorBidi"/>
          <w:sz w:val="24"/>
          <w:szCs w:val="24"/>
        </w:rPr>
        <w:t xml:space="preserve"> to collect </w:t>
      </w:r>
      <w:r>
        <w:rPr>
          <w:rFonts w:asciiTheme="majorHAnsi" w:hAnsiTheme="majorHAnsi" w:cstheme="majorBidi"/>
          <w:sz w:val="24"/>
          <w:szCs w:val="24"/>
        </w:rPr>
        <w:t xml:space="preserve">an average </w:t>
      </w:r>
      <w:r w:rsidR="0028734B">
        <w:rPr>
          <w:rFonts w:asciiTheme="majorHAnsi" w:hAnsiTheme="majorHAnsi" w:cstheme="majorBidi"/>
          <w:sz w:val="24"/>
          <w:szCs w:val="24"/>
        </w:rPr>
        <w:t>4</w:t>
      </w:r>
      <w:r>
        <w:rPr>
          <w:rFonts w:asciiTheme="majorHAnsi" w:hAnsiTheme="majorHAnsi" w:cstheme="majorBidi"/>
          <w:sz w:val="24"/>
          <w:szCs w:val="24"/>
        </w:rPr>
        <w:t>% of total t</w:t>
      </w:r>
      <w:r w:rsidR="006A4C82">
        <w:rPr>
          <w:rFonts w:asciiTheme="majorHAnsi" w:hAnsiTheme="majorHAnsi" w:cstheme="majorBidi"/>
          <w:sz w:val="24"/>
          <w:szCs w:val="24"/>
        </w:rPr>
        <w:t>ax revenues in form</w:t>
      </w:r>
      <w:r w:rsidR="0028734B" w:rsidRPr="00AE2D11">
        <w:rPr>
          <w:rFonts w:asciiTheme="majorHAnsi" w:hAnsiTheme="majorHAnsi" w:cstheme="majorBidi"/>
          <w:sz w:val="24"/>
          <w:szCs w:val="24"/>
        </w:rPr>
        <w:t xml:space="preserve"> of direct and indirect taxes </w:t>
      </w:r>
      <w:r w:rsidR="0028734B">
        <w:rPr>
          <w:rFonts w:asciiTheme="majorHAnsi" w:hAnsiTheme="majorHAnsi" w:cstheme="majorBidi"/>
          <w:sz w:val="24"/>
          <w:szCs w:val="24"/>
        </w:rPr>
        <w:t xml:space="preserve">in which it </w:t>
      </w:r>
      <w:r w:rsidR="0028734B" w:rsidRPr="00AE2D11">
        <w:rPr>
          <w:rFonts w:asciiTheme="majorHAnsi" w:hAnsiTheme="majorHAnsi" w:cstheme="majorBidi"/>
          <w:sz w:val="24"/>
          <w:szCs w:val="24"/>
        </w:rPr>
        <w:t>represent</w:t>
      </w:r>
      <w:r w:rsidR="0028734B">
        <w:rPr>
          <w:rFonts w:asciiTheme="majorHAnsi" w:hAnsiTheme="majorHAnsi" w:cstheme="majorBidi"/>
          <w:sz w:val="24"/>
          <w:szCs w:val="24"/>
        </w:rPr>
        <w:t xml:space="preserve">s </w:t>
      </w:r>
      <w:r w:rsidR="0028734B" w:rsidRPr="00AE2D11">
        <w:rPr>
          <w:rFonts w:asciiTheme="majorHAnsi" w:hAnsiTheme="majorHAnsi" w:cstheme="majorBidi"/>
          <w:sz w:val="24"/>
          <w:szCs w:val="24"/>
        </w:rPr>
        <w:t>1% of total Revenues and Grants</w:t>
      </w:r>
      <w:r w:rsidR="006A4C82">
        <w:rPr>
          <w:rFonts w:asciiTheme="majorHAnsi" w:hAnsiTheme="majorHAnsi" w:cstheme="majorBidi"/>
          <w:sz w:val="24"/>
          <w:szCs w:val="24"/>
        </w:rPr>
        <w:t xml:space="preserve">. Local Tax Revenues </w:t>
      </w:r>
      <w:r w:rsidR="00931DE1">
        <w:rPr>
          <w:rFonts w:asciiTheme="majorHAnsi" w:hAnsiTheme="majorHAnsi" w:cstheme="majorBidi"/>
          <w:sz w:val="24"/>
          <w:szCs w:val="24"/>
        </w:rPr>
        <w:t>ha</w:t>
      </w:r>
      <w:r w:rsidR="006A4C82">
        <w:rPr>
          <w:rFonts w:asciiTheme="majorHAnsi" w:hAnsiTheme="majorHAnsi" w:cstheme="majorBidi"/>
          <w:sz w:val="24"/>
          <w:szCs w:val="24"/>
        </w:rPr>
        <w:t>ve</w:t>
      </w:r>
      <w:r w:rsidR="00931DE1">
        <w:rPr>
          <w:rFonts w:asciiTheme="majorHAnsi" w:hAnsiTheme="majorHAnsi" w:cstheme="majorBidi"/>
          <w:sz w:val="24"/>
          <w:szCs w:val="24"/>
        </w:rPr>
        <w:t xml:space="preserve"> a</w:t>
      </w:r>
      <w:r w:rsidR="006A4C82">
        <w:rPr>
          <w:rFonts w:asciiTheme="majorHAnsi" w:hAnsiTheme="majorHAnsi" w:cstheme="majorBidi"/>
          <w:sz w:val="24"/>
          <w:szCs w:val="24"/>
        </w:rPr>
        <w:t xml:space="preserve"> 5-year </w:t>
      </w:r>
      <w:r w:rsidR="00931DE1">
        <w:rPr>
          <w:rFonts w:asciiTheme="majorHAnsi" w:hAnsiTheme="majorHAnsi" w:cstheme="majorBidi"/>
          <w:sz w:val="24"/>
          <w:szCs w:val="24"/>
        </w:rPr>
        <w:t xml:space="preserve">average growth rate of </w:t>
      </w:r>
      <w:r w:rsidR="00931DE1" w:rsidRPr="00931DE1">
        <w:rPr>
          <w:rFonts w:asciiTheme="majorHAnsi" w:hAnsiTheme="majorHAnsi" w:cstheme="majorBidi"/>
          <w:b/>
          <w:bCs/>
          <w:sz w:val="24"/>
          <w:szCs w:val="24"/>
        </w:rPr>
        <w:t>negative 1.3%</w:t>
      </w:r>
      <w:r w:rsidR="006A4C82">
        <w:rPr>
          <w:rFonts w:asciiTheme="majorHAnsi" w:hAnsiTheme="majorHAnsi" w:cstheme="majorBidi"/>
          <w:sz w:val="24"/>
          <w:szCs w:val="24"/>
        </w:rPr>
        <w:t>, which is</w:t>
      </w:r>
      <w:r w:rsidR="00931DE1">
        <w:rPr>
          <w:rFonts w:asciiTheme="majorHAnsi" w:hAnsiTheme="majorHAnsi" w:cstheme="majorBidi"/>
          <w:sz w:val="24"/>
          <w:szCs w:val="24"/>
        </w:rPr>
        <w:t xml:space="preserve"> due </w:t>
      </w:r>
      <w:r w:rsidR="006A4C82">
        <w:rPr>
          <w:rFonts w:asciiTheme="majorHAnsi" w:hAnsiTheme="majorHAnsi" w:cstheme="majorBidi"/>
          <w:sz w:val="24"/>
          <w:szCs w:val="24"/>
        </w:rPr>
        <w:t xml:space="preserve">mainly </w:t>
      </w:r>
      <w:r w:rsidR="00931DE1">
        <w:rPr>
          <w:rFonts w:asciiTheme="majorHAnsi" w:hAnsiTheme="majorHAnsi" w:cstheme="majorBidi"/>
          <w:sz w:val="24"/>
          <w:szCs w:val="24"/>
        </w:rPr>
        <w:t xml:space="preserve">to the country political crisis </w:t>
      </w:r>
      <w:r w:rsidR="006A4C82">
        <w:rPr>
          <w:rFonts w:asciiTheme="majorHAnsi" w:hAnsiTheme="majorHAnsi" w:cstheme="majorBidi"/>
          <w:sz w:val="24"/>
          <w:szCs w:val="24"/>
        </w:rPr>
        <w:t>of</w:t>
      </w:r>
      <w:r w:rsidR="00931DE1">
        <w:rPr>
          <w:rFonts w:asciiTheme="majorHAnsi" w:hAnsiTheme="majorHAnsi" w:cstheme="majorBidi"/>
          <w:sz w:val="24"/>
          <w:szCs w:val="24"/>
        </w:rPr>
        <w:t xml:space="preserve"> 2011</w:t>
      </w:r>
      <w:r w:rsidR="006A4C82">
        <w:rPr>
          <w:rFonts w:asciiTheme="majorHAnsi" w:hAnsiTheme="majorHAnsi" w:cstheme="majorBidi"/>
          <w:sz w:val="24"/>
          <w:szCs w:val="24"/>
        </w:rPr>
        <w:t xml:space="preserve"> which caused</w:t>
      </w:r>
      <w:r w:rsidR="00931DE1">
        <w:rPr>
          <w:rFonts w:asciiTheme="majorHAnsi" w:hAnsiTheme="majorHAnsi" w:cstheme="majorBidi"/>
          <w:sz w:val="24"/>
          <w:szCs w:val="24"/>
        </w:rPr>
        <w:t xml:space="preserve"> local tax revenues </w:t>
      </w:r>
      <w:r w:rsidR="006A4C82">
        <w:rPr>
          <w:rFonts w:asciiTheme="majorHAnsi" w:hAnsiTheme="majorHAnsi" w:cstheme="majorBidi"/>
          <w:sz w:val="24"/>
          <w:szCs w:val="24"/>
        </w:rPr>
        <w:t xml:space="preserve">to decline </w:t>
      </w:r>
      <w:r w:rsidR="00931DE1">
        <w:rPr>
          <w:rFonts w:asciiTheme="majorHAnsi" w:hAnsiTheme="majorHAnsi" w:cstheme="majorBidi"/>
          <w:sz w:val="24"/>
          <w:szCs w:val="24"/>
        </w:rPr>
        <w:t xml:space="preserve">by 12% </w:t>
      </w:r>
      <w:r w:rsidR="00211090">
        <w:rPr>
          <w:rFonts w:asciiTheme="majorHAnsi" w:hAnsiTheme="majorHAnsi" w:cstheme="majorBidi"/>
          <w:sz w:val="24"/>
          <w:szCs w:val="24"/>
        </w:rPr>
        <w:t>since then</w:t>
      </w:r>
      <w:r w:rsidR="0028734B" w:rsidRPr="00AE2D11">
        <w:rPr>
          <w:rFonts w:asciiTheme="majorHAnsi" w:hAnsiTheme="majorHAnsi" w:cstheme="majorBidi"/>
          <w:sz w:val="24"/>
          <w:szCs w:val="24"/>
        </w:rPr>
        <w:t>.</w:t>
      </w:r>
      <w:r w:rsidR="0073170E">
        <w:rPr>
          <w:rFonts w:asciiTheme="majorHAnsi" w:hAnsiTheme="majorHAnsi" w:cstheme="majorBidi"/>
          <w:sz w:val="24"/>
          <w:szCs w:val="24"/>
        </w:rPr>
        <w:t xml:space="preserve"> </w:t>
      </w:r>
      <w:r w:rsidR="0018526A">
        <w:rPr>
          <w:rFonts w:asciiTheme="majorHAnsi" w:hAnsiTheme="majorHAnsi" w:cstheme="majorBidi"/>
          <w:sz w:val="24"/>
          <w:szCs w:val="24"/>
        </w:rPr>
        <w:t xml:space="preserve">Local Authority main tax revenues </w:t>
      </w:r>
      <w:r w:rsidR="0030656B">
        <w:rPr>
          <w:rFonts w:asciiTheme="majorHAnsi" w:hAnsiTheme="majorHAnsi" w:cstheme="majorBidi"/>
          <w:sz w:val="24"/>
          <w:szCs w:val="24"/>
        </w:rPr>
        <w:t xml:space="preserve">come from a) Zakat Taxes (73%), b) Goods and Services Taxes (19%) and c) Income Taxes (6%). </w:t>
      </w:r>
      <w:r w:rsidR="0018526A">
        <w:rPr>
          <w:rFonts w:asciiTheme="majorHAnsi" w:hAnsiTheme="majorHAnsi" w:cstheme="majorBidi"/>
          <w:sz w:val="24"/>
          <w:szCs w:val="24"/>
        </w:rPr>
        <w:t xml:space="preserve"> </w:t>
      </w:r>
    </w:p>
    <w:tbl>
      <w:tblPr>
        <w:tblW w:w="9941" w:type="dxa"/>
        <w:tblInd w:w="95" w:type="dxa"/>
        <w:tblLook w:val="04A0"/>
      </w:tblPr>
      <w:tblGrid>
        <w:gridCol w:w="2301"/>
        <w:gridCol w:w="1046"/>
        <w:gridCol w:w="793"/>
        <w:gridCol w:w="819"/>
        <w:gridCol w:w="715"/>
        <w:gridCol w:w="878"/>
        <w:gridCol w:w="816"/>
        <w:gridCol w:w="961"/>
        <w:gridCol w:w="692"/>
        <w:gridCol w:w="920"/>
      </w:tblGrid>
      <w:tr w:rsidR="0030656B" w:rsidRPr="0030656B" w:rsidTr="0030656B">
        <w:trPr>
          <w:trHeight w:val="330"/>
        </w:trPr>
        <w:tc>
          <w:tcPr>
            <w:tcW w:w="9021" w:type="dxa"/>
            <w:gridSpan w:val="9"/>
            <w:tcBorders>
              <w:top w:val="nil"/>
              <w:left w:val="nil"/>
              <w:bottom w:val="single" w:sz="8" w:space="0" w:color="auto"/>
              <w:right w:val="nil"/>
            </w:tcBorders>
            <w:shd w:val="clear" w:color="auto" w:fill="auto"/>
            <w:noWrap/>
            <w:vAlign w:val="center"/>
            <w:hideMark/>
          </w:tcPr>
          <w:p w:rsidR="0030656B" w:rsidRPr="0030656B" w:rsidRDefault="0030656B" w:rsidP="0030656B">
            <w:pPr>
              <w:spacing w:after="0" w:line="240" w:lineRule="auto"/>
              <w:rPr>
                <w:rFonts w:ascii="Cambria" w:eastAsia="Times New Roman" w:hAnsi="Cambria" w:cs="Times New Roman"/>
                <w:b/>
                <w:bCs/>
                <w:color w:val="000000"/>
                <w:sz w:val="24"/>
                <w:szCs w:val="24"/>
              </w:rPr>
            </w:pPr>
            <w:r w:rsidRPr="0030656B">
              <w:rPr>
                <w:rFonts w:ascii="Cambria" w:eastAsia="Times New Roman" w:hAnsi="Cambria" w:cs="Times New Roman"/>
                <w:color w:val="000000"/>
                <w:sz w:val="24"/>
                <w:szCs w:val="24"/>
              </w:rPr>
              <w:t>Table 8:</w:t>
            </w:r>
            <w:r w:rsidRPr="0030656B">
              <w:rPr>
                <w:rFonts w:ascii="Cambria" w:eastAsia="Times New Roman" w:hAnsi="Cambria" w:cs="Times New Roman"/>
                <w:b/>
                <w:bCs/>
                <w:color w:val="000000"/>
                <w:sz w:val="24"/>
                <w:szCs w:val="24"/>
              </w:rPr>
              <w:t xml:space="preserve"> </w:t>
            </w:r>
            <w:r w:rsidRPr="0030656B">
              <w:rPr>
                <w:rFonts w:ascii="Cambria" w:eastAsia="Times New Roman" w:hAnsi="Cambria" w:cs="Times New Roman"/>
                <w:b/>
                <w:bCs/>
                <w:i/>
                <w:iCs/>
                <w:color w:val="000000"/>
                <w:sz w:val="24"/>
                <w:szCs w:val="24"/>
              </w:rPr>
              <w:t xml:space="preserve"> Local Authority Main Tax Revenues </w:t>
            </w:r>
            <w:r w:rsidRPr="0030656B">
              <w:rPr>
                <w:rFonts w:ascii="Cambria" w:eastAsia="Times New Roman" w:hAnsi="Cambria" w:cs="Times New Roman"/>
                <w:b/>
                <w:bCs/>
                <w:color w:val="000000"/>
              </w:rPr>
              <w:t>(2012 Budget. In Millions of YR)</w:t>
            </w:r>
          </w:p>
        </w:tc>
        <w:tc>
          <w:tcPr>
            <w:tcW w:w="920" w:type="dxa"/>
            <w:tcBorders>
              <w:top w:val="nil"/>
              <w:left w:val="nil"/>
              <w:bottom w:val="nil"/>
              <w:right w:val="nil"/>
            </w:tcBorders>
            <w:shd w:val="clear" w:color="auto" w:fill="auto"/>
            <w:noWrap/>
            <w:vAlign w:val="bottom"/>
            <w:hideMark/>
          </w:tcPr>
          <w:p w:rsidR="0030656B" w:rsidRPr="0030656B" w:rsidRDefault="0030656B" w:rsidP="0030656B">
            <w:pPr>
              <w:spacing w:after="0" w:line="240" w:lineRule="auto"/>
              <w:rPr>
                <w:rFonts w:ascii="Cambria" w:eastAsia="Times New Roman" w:hAnsi="Cambria" w:cs="Times New Roman"/>
                <w:color w:val="000000"/>
              </w:rPr>
            </w:pPr>
          </w:p>
        </w:tc>
      </w:tr>
      <w:tr w:rsidR="0030656B" w:rsidRPr="0030656B" w:rsidTr="0030656B">
        <w:trPr>
          <w:trHeight w:val="300"/>
        </w:trPr>
        <w:tc>
          <w:tcPr>
            <w:tcW w:w="23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Governorate</w:t>
            </w:r>
          </w:p>
        </w:tc>
        <w:tc>
          <w:tcPr>
            <w:tcW w:w="6720" w:type="dxa"/>
            <w:gridSpan w:val="8"/>
            <w:tcBorders>
              <w:top w:val="single" w:sz="8" w:space="0" w:color="auto"/>
              <w:left w:val="nil"/>
              <w:bottom w:val="single" w:sz="8" w:space="0" w:color="auto"/>
              <w:right w:val="single" w:sz="8" w:space="0" w:color="000000"/>
            </w:tcBorders>
            <w:shd w:val="clear" w:color="000000" w:fill="000000"/>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FFFFFF"/>
              </w:rPr>
            </w:pPr>
            <w:r w:rsidRPr="0030656B">
              <w:rPr>
                <w:rFonts w:ascii="Cambria" w:eastAsia="Times New Roman" w:hAnsi="Cambria" w:cs="Times New Roman"/>
                <w:b/>
                <w:bCs/>
                <w:color w:val="FFFFFF"/>
              </w:rPr>
              <w:t>Chapter 1: Tax Revenues</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Total</w:t>
            </w:r>
          </w:p>
        </w:tc>
      </w:tr>
      <w:tr w:rsidR="0030656B" w:rsidRPr="0030656B" w:rsidTr="0030656B">
        <w:trPr>
          <w:trHeight w:val="300"/>
        </w:trPr>
        <w:tc>
          <w:tcPr>
            <w:tcW w:w="2301" w:type="dxa"/>
            <w:vMerge/>
            <w:tcBorders>
              <w:top w:val="nil"/>
              <w:left w:val="single" w:sz="8" w:space="0" w:color="auto"/>
              <w:bottom w:val="single" w:sz="8" w:space="0" w:color="000000"/>
              <w:right w:val="single" w:sz="8" w:space="0" w:color="auto"/>
            </w:tcBorders>
            <w:vAlign w:val="center"/>
            <w:hideMark/>
          </w:tcPr>
          <w:p w:rsidR="0030656B" w:rsidRPr="0030656B" w:rsidRDefault="0030656B" w:rsidP="0030656B">
            <w:pPr>
              <w:spacing w:after="0" w:line="240" w:lineRule="auto"/>
              <w:rPr>
                <w:rFonts w:ascii="Cambria" w:eastAsia="Times New Roman" w:hAnsi="Cambria" w:cs="Times New Roman"/>
                <w:b/>
                <w:bCs/>
                <w:color w:val="000000"/>
              </w:rPr>
            </w:pPr>
          </w:p>
        </w:tc>
        <w:tc>
          <w:tcPr>
            <w:tcW w:w="1839" w:type="dxa"/>
            <w:gridSpan w:val="2"/>
            <w:tcBorders>
              <w:top w:val="single" w:sz="8" w:space="0" w:color="auto"/>
              <w:left w:val="nil"/>
              <w:bottom w:val="single" w:sz="8"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Zakat Revenues</w:t>
            </w:r>
          </w:p>
        </w:tc>
        <w:tc>
          <w:tcPr>
            <w:tcW w:w="153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Income, Profit and Capital Gains Tax</w:t>
            </w:r>
          </w:p>
        </w:tc>
        <w:tc>
          <w:tcPr>
            <w:tcW w:w="1694" w:type="dxa"/>
            <w:gridSpan w:val="2"/>
            <w:tcBorders>
              <w:top w:val="single" w:sz="8" w:space="0" w:color="auto"/>
              <w:left w:val="nil"/>
              <w:bottom w:val="single" w:sz="8" w:space="0" w:color="auto"/>
              <w:right w:val="single" w:sz="8" w:space="0" w:color="000000"/>
            </w:tcBorders>
            <w:shd w:val="clear" w:color="auto" w:fill="auto"/>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Taxes on Goods and Services</w:t>
            </w:r>
          </w:p>
        </w:tc>
        <w:tc>
          <w:tcPr>
            <w:tcW w:w="165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Property Taxes</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30656B" w:rsidRPr="0030656B" w:rsidRDefault="0030656B" w:rsidP="0030656B">
            <w:pPr>
              <w:spacing w:after="0" w:line="240" w:lineRule="auto"/>
              <w:rPr>
                <w:rFonts w:ascii="Cambria" w:eastAsia="Times New Roman" w:hAnsi="Cambria" w:cs="Times New Roman"/>
                <w:b/>
                <w:bCs/>
                <w:color w:val="000000"/>
              </w:rPr>
            </w:pPr>
          </w:p>
        </w:tc>
      </w:tr>
      <w:tr w:rsidR="0030656B" w:rsidRPr="0030656B" w:rsidTr="0030656B">
        <w:trPr>
          <w:trHeight w:val="300"/>
        </w:trPr>
        <w:tc>
          <w:tcPr>
            <w:tcW w:w="2301" w:type="dxa"/>
            <w:vMerge/>
            <w:tcBorders>
              <w:top w:val="nil"/>
              <w:left w:val="single" w:sz="8" w:space="0" w:color="auto"/>
              <w:bottom w:val="single" w:sz="8" w:space="0" w:color="000000"/>
              <w:right w:val="single" w:sz="8" w:space="0" w:color="auto"/>
            </w:tcBorders>
            <w:vAlign w:val="center"/>
            <w:hideMark/>
          </w:tcPr>
          <w:p w:rsidR="0030656B" w:rsidRPr="0030656B" w:rsidRDefault="0030656B" w:rsidP="0030656B">
            <w:pPr>
              <w:spacing w:after="0" w:line="240" w:lineRule="auto"/>
              <w:rPr>
                <w:rFonts w:ascii="Cambria" w:eastAsia="Times New Roman" w:hAnsi="Cambria" w:cs="Times New Roman"/>
                <w:b/>
                <w:bCs/>
                <w:color w:val="000000"/>
              </w:rPr>
            </w:pPr>
          </w:p>
        </w:tc>
        <w:tc>
          <w:tcPr>
            <w:tcW w:w="1046" w:type="dxa"/>
            <w:tcBorders>
              <w:top w:val="nil"/>
              <w:left w:val="nil"/>
              <w:bottom w:val="single" w:sz="8" w:space="0" w:color="auto"/>
              <w:right w:val="single" w:sz="4" w:space="0" w:color="auto"/>
            </w:tcBorders>
            <w:shd w:val="clear" w:color="auto" w:fill="auto"/>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YR</w:t>
            </w:r>
          </w:p>
        </w:tc>
        <w:tc>
          <w:tcPr>
            <w:tcW w:w="793" w:type="dxa"/>
            <w:tcBorders>
              <w:top w:val="nil"/>
              <w:left w:val="nil"/>
              <w:bottom w:val="single" w:sz="8" w:space="0" w:color="auto"/>
              <w:right w:val="nil"/>
            </w:tcBorders>
            <w:shd w:val="clear" w:color="auto" w:fill="auto"/>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 xml:space="preserve">% </w:t>
            </w:r>
          </w:p>
        </w:tc>
        <w:tc>
          <w:tcPr>
            <w:tcW w:w="819" w:type="dxa"/>
            <w:tcBorders>
              <w:top w:val="nil"/>
              <w:left w:val="single" w:sz="8" w:space="0" w:color="auto"/>
              <w:bottom w:val="single" w:sz="8" w:space="0" w:color="auto"/>
              <w:right w:val="single" w:sz="4" w:space="0" w:color="auto"/>
            </w:tcBorders>
            <w:shd w:val="clear" w:color="auto" w:fill="auto"/>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YR</w:t>
            </w:r>
          </w:p>
        </w:tc>
        <w:tc>
          <w:tcPr>
            <w:tcW w:w="715" w:type="dxa"/>
            <w:tcBorders>
              <w:top w:val="nil"/>
              <w:left w:val="nil"/>
              <w:bottom w:val="single" w:sz="8" w:space="0" w:color="auto"/>
              <w:right w:val="single" w:sz="8" w:space="0" w:color="auto"/>
            </w:tcBorders>
            <w:shd w:val="clear" w:color="auto" w:fill="auto"/>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 xml:space="preserve">% </w:t>
            </w:r>
          </w:p>
        </w:tc>
        <w:tc>
          <w:tcPr>
            <w:tcW w:w="878" w:type="dxa"/>
            <w:tcBorders>
              <w:top w:val="nil"/>
              <w:left w:val="nil"/>
              <w:bottom w:val="single" w:sz="8" w:space="0" w:color="auto"/>
              <w:right w:val="single" w:sz="4" w:space="0" w:color="auto"/>
            </w:tcBorders>
            <w:shd w:val="clear" w:color="auto" w:fill="auto"/>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YR</w:t>
            </w:r>
          </w:p>
        </w:tc>
        <w:tc>
          <w:tcPr>
            <w:tcW w:w="816" w:type="dxa"/>
            <w:tcBorders>
              <w:top w:val="nil"/>
              <w:left w:val="nil"/>
              <w:bottom w:val="single" w:sz="8" w:space="0" w:color="auto"/>
              <w:right w:val="single" w:sz="8" w:space="0" w:color="auto"/>
            </w:tcBorders>
            <w:shd w:val="clear" w:color="auto" w:fill="auto"/>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 xml:space="preserve">% </w:t>
            </w:r>
          </w:p>
        </w:tc>
        <w:tc>
          <w:tcPr>
            <w:tcW w:w="961" w:type="dxa"/>
            <w:tcBorders>
              <w:top w:val="nil"/>
              <w:left w:val="nil"/>
              <w:bottom w:val="single" w:sz="8" w:space="0" w:color="auto"/>
              <w:right w:val="single" w:sz="4" w:space="0" w:color="auto"/>
            </w:tcBorders>
            <w:shd w:val="clear" w:color="auto" w:fill="auto"/>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YR</w:t>
            </w:r>
          </w:p>
        </w:tc>
        <w:tc>
          <w:tcPr>
            <w:tcW w:w="692" w:type="dxa"/>
            <w:tcBorders>
              <w:top w:val="nil"/>
              <w:left w:val="nil"/>
              <w:bottom w:val="single" w:sz="8" w:space="0" w:color="auto"/>
              <w:right w:val="single" w:sz="8" w:space="0" w:color="auto"/>
            </w:tcBorders>
            <w:shd w:val="clear" w:color="auto" w:fill="auto"/>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 xml:space="preserve">% </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30656B" w:rsidRPr="0030656B" w:rsidRDefault="0030656B" w:rsidP="0030656B">
            <w:pPr>
              <w:spacing w:after="0" w:line="240" w:lineRule="auto"/>
              <w:rPr>
                <w:rFonts w:ascii="Cambria" w:eastAsia="Times New Roman" w:hAnsi="Cambria" w:cs="Times New Roman"/>
                <w:b/>
                <w:bCs/>
                <w:color w:val="000000"/>
              </w:rPr>
            </w:pPr>
          </w:p>
        </w:tc>
      </w:tr>
      <w:tr w:rsidR="0030656B" w:rsidRPr="0030656B" w:rsidTr="0030656B">
        <w:trPr>
          <w:trHeight w:val="285"/>
        </w:trPr>
        <w:tc>
          <w:tcPr>
            <w:tcW w:w="2301"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Sana'a City</w:t>
            </w:r>
          </w:p>
        </w:tc>
        <w:tc>
          <w:tcPr>
            <w:tcW w:w="1046"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3,427 </w:t>
            </w:r>
          </w:p>
        </w:tc>
        <w:tc>
          <w:tcPr>
            <w:tcW w:w="793"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79%</w:t>
            </w:r>
          </w:p>
        </w:tc>
        <w:tc>
          <w:tcPr>
            <w:tcW w:w="819" w:type="dxa"/>
            <w:tcBorders>
              <w:top w:val="nil"/>
              <w:left w:val="single" w:sz="8" w:space="0" w:color="auto"/>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310 </w:t>
            </w:r>
          </w:p>
        </w:tc>
        <w:tc>
          <w:tcPr>
            <w:tcW w:w="715"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7%</w:t>
            </w:r>
          </w:p>
        </w:tc>
        <w:tc>
          <w:tcPr>
            <w:tcW w:w="878"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552 </w:t>
            </w:r>
          </w:p>
        </w:tc>
        <w:tc>
          <w:tcPr>
            <w:tcW w:w="816"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13%</w:t>
            </w:r>
          </w:p>
        </w:tc>
        <w:tc>
          <w:tcPr>
            <w:tcW w:w="961"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44.2 </w:t>
            </w:r>
          </w:p>
        </w:tc>
        <w:tc>
          <w:tcPr>
            <w:tcW w:w="692"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w:t>
            </w:r>
          </w:p>
        </w:tc>
        <w:tc>
          <w:tcPr>
            <w:tcW w:w="920"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285"/>
        </w:trPr>
        <w:tc>
          <w:tcPr>
            <w:tcW w:w="2301"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Sana'a Governorate</w:t>
            </w:r>
          </w:p>
        </w:tc>
        <w:tc>
          <w:tcPr>
            <w:tcW w:w="1046"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438.8 </w:t>
            </w:r>
          </w:p>
        </w:tc>
        <w:tc>
          <w:tcPr>
            <w:tcW w:w="793"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93%</w:t>
            </w:r>
          </w:p>
        </w:tc>
        <w:tc>
          <w:tcPr>
            <w:tcW w:w="819" w:type="dxa"/>
            <w:tcBorders>
              <w:top w:val="nil"/>
              <w:left w:val="single" w:sz="8" w:space="0" w:color="auto"/>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5 </w:t>
            </w:r>
          </w:p>
        </w:tc>
        <w:tc>
          <w:tcPr>
            <w:tcW w:w="715"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w:t>
            </w:r>
          </w:p>
        </w:tc>
        <w:tc>
          <w:tcPr>
            <w:tcW w:w="878"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25 </w:t>
            </w:r>
          </w:p>
        </w:tc>
        <w:tc>
          <w:tcPr>
            <w:tcW w:w="816"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5%</w:t>
            </w:r>
          </w:p>
        </w:tc>
        <w:tc>
          <w:tcPr>
            <w:tcW w:w="961"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1.1 </w:t>
            </w:r>
          </w:p>
        </w:tc>
        <w:tc>
          <w:tcPr>
            <w:tcW w:w="692"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0%</w:t>
            </w:r>
          </w:p>
        </w:tc>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lastRenderedPageBreak/>
              <w:t>Aden</w:t>
            </w:r>
          </w:p>
        </w:tc>
        <w:tc>
          <w:tcPr>
            <w:tcW w:w="1046"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245.7 </w:t>
            </w:r>
          </w:p>
        </w:tc>
        <w:tc>
          <w:tcPr>
            <w:tcW w:w="793"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41%</w:t>
            </w:r>
          </w:p>
        </w:tc>
        <w:tc>
          <w:tcPr>
            <w:tcW w:w="819" w:type="dxa"/>
            <w:tcBorders>
              <w:top w:val="nil"/>
              <w:left w:val="single" w:sz="8" w:space="0" w:color="auto"/>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79 </w:t>
            </w:r>
          </w:p>
        </w:tc>
        <w:tc>
          <w:tcPr>
            <w:tcW w:w="715"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13%</w:t>
            </w:r>
          </w:p>
        </w:tc>
        <w:tc>
          <w:tcPr>
            <w:tcW w:w="878"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269 </w:t>
            </w:r>
          </w:p>
        </w:tc>
        <w:tc>
          <w:tcPr>
            <w:tcW w:w="816"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45%</w:t>
            </w:r>
          </w:p>
        </w:tc>
        <w:tc>
          <w:tcPr>
            <w:tcW w:w="961"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3.5 </w:t>
            </w:r>
          </w:p>
        </w:tc>
        <w:tc>
          <w:tcPr>
            <w:tcW w:w="692"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w:t>
            </w:r>
          </w:p>
        </w:tc>
        <w:tc>
          <w:tcPr>
            <w:tcW w:w="920"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Taiz</w:t>
            </w:r>
          </w:p>
        </w:tc>
        <w:tc>
          <w:tcPr>
            <w:tcW w:w="1046"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542.0 </w:t>
            </w:r>
          </w:p>
        </w:tc>
        <w:tc>
          <w:tcPr>
            <w:tcW w:w="793"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66%</w:t>
            </w:r>
          </w:p>
        </w:tc>
        <w:tc>
          <w:tcPr>
            <w:tcW w:w="819" w:type="dxa"/>
            <w:tcBorders>
              <w:top w:val="nil"/>
              <w:left w:val="single" w:sz="8" w:space="0" w:color="auto"/>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50 </w:t>
            </w:r>
          </w:p>
        </w:tc>
        <w:tc>
          <w:tcPr>
            <w:tcW w:w="715"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6%</w:t>
            </w:r>
          </w:p>
        </w:tc>
        <w:tc>
          <w:tcPr>
            <w:tcW w:w="878"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209 </w:t>
            </w:r>
          </w:p>
        </w:tc>
        <w:tc>
          <w:tcPr>
            <w:tcW w:w="816"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25%</w:t>
            </w:r>
          </w:p>
        </w:tc>
        <w:tc>
          <w:tcPr>
            <w:tcW w:w="961"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20.8 </w:t>
            </w:r>
          </w:p>
        </w:tc>
        <w:tc>
          <w:tcPr>
            <w:tcW w:w="692"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3%</w:t>
            </w:r>
          </w:p>
        </w:tc>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Hudaidah</w:t>
            </w:r>
          </w:p>
        </w:tc>
        <w:tc>
          <w:tcPr>
            <w:tcW w:w="1046"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394.6 </w:t>
            </w:r>
          </w:p>
        </w:tc>
        <w:tc>
          <w:tcPr>
            <w:tcW w:w="793"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61%</w:t>
            </w:r>
          </w:p>
        </w:tc>
        <w:tc>
          <w:tcPr>
            <w:tcW w:w="819" w:type="dxa"/>
            <w:tcBorders>
              <w:top w:val="nil"/>
              <w:left w:val="single" w:sz="8" w:space="0" w:color="auto"/>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45 </w:t>
            </w:r>
          </w:p>
        </w:tc>
        <w:tc>
          <w:tcPr>
            <w:tcW w:w="715"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7%</w:t>
            </w:r>
          </w:p>
        </w:tc>
        <w:tc>
          <w:tcPr>
            <w:tcW w:w="878"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204 </w:t>
            </w:r>
          </w:p>
        </w:tc>
        <w:tc>
          <w:tcPr>
            <w:tcW w:w="816"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32%</w:t>
            </w:r>
          </w:p>
        </w:tc>
        <w:tc>
          <w:tcPr>
            <w:tcW w:w="961"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3.3 </w:t>
            </w:r>
          </w:p>
        </w:tc>
        <w:tc>
          <w:tcPr>
            <w:tcW w:w="692"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w:t>
            </w:r>
          </w:p>
        </w:tc>
        <w:tc>
          <w:tcPr>
            <w:tcW w:w="920"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Hadhramot</w:t>
            </w:r>
          </w:p>
        </w:tc>
        <w:tc>
          <w:tcPr>
            <w:tcW w:w="1046"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142.0 </w:t>
            </w:r>
          </w:p>
        </w:tc>
        <w:tc>
          <w:tcPr>
            <w:tcW w:w="793"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36%</w:t>
            </w:r>
          </w:p>
        </w:tc>
        <w:tc>
          <w:tcPr>
            <w:tcW w:w="819" w:type="dxa"/>
            <w:tcBorders>
              <w:top w:val="nil"/>
              <w:left w:val="single" w:sz="8" w:space="0" w:color="auto"/>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43 </w:t>
            </w:r>
          </w:p>
        </w:tc>
        <w:tc>
          <w:tcPr>
            <w:tcW w:w="715"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11%</w:t>
            </w:r>
          </w:p>
        </w:tc>
        <w:tc>
          <w:tcPr>
            <w:tcW w:w="878" w:type="dxa"/>
            <w:tcBorders>
              <w:top w:val="nil"/>
              <w:left w:val="nil"/>
              <w:bottom w:val="nil"/>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178 </w:t>
            </w:r>
          </w:p>
        </w:tc>
        <w:tc>
          <w:tcPr>
            <w:tcW w:w="816" w:type="dxa"/>
            <w:tcBorders>
              <w:top w:val="nil"/>
              <w:left w:val="single" w:sz="4"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45%</w:t>
            </w:r>
          </w:p>
        </w:tc>
        <w:tc>
          <w:tcPr>
            <w:tcW w:w="961" w:type="dxa"/>
            <w:tcBorders>
              <w:top w:val="nil"/>
              <w:left w:val="nil"/>
              <w:bottom w:val="nil"/>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35.05 </w:t>
            </w:r>
          </w:p>
        </w:tc>
        <w:tc>
          <w:tcPr>
            <w:tcW w:w="692" w:type="dxa"/>
            <w:tcBorders>
              <w:top w:val="nil"/>
              <w:left w:val="single" w:sz="4" w:space="0" w:color="auto"/>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9%</w:t>
            </w:r>
          </w:p>
        </w:tc>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Ibb</w:t>
            </w:r>
          </w:p>
        </w:tc>
        <w:tc>
          <w:tcPr>
            <w:tcW w:w="1046"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396.6 </w:t>
            </w:r>
          </w:p>
        </w:tc>
        <w:tc>
          <w:tcPr>
            <w:tcW w:w="793"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74%</w:t>
            </w:r>
          </w:p>
        </w:tc>
        <w:tc>
          <w:tcPr>
            <w:tcW w:w="819" w:type="dxa"/>
            <w:tcBorders>
              <w:top w:val="nil"/>
              <w:left w:val="single" w:sz="8" w:space="0" w:color="auto"/>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18 </w:t>
            </w:r>
          </w:p>
        </w:tc>
        <w:tc>
          <w:tcPr>
            <w:tcW w:w="715"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3%</w:t>
            </w:r>
          </w:p>
        </w:tc>
        <w:tc>
          <w:tcPr>
            <w:tcW w:w="878" w:type="dxa"/>
            <w:tcBorders>
              <w:top w:val="single" w:sz="4" w:space="0" w:color="auto"/>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114 </w:t>
            </w:r>
          </w:p>
        </w:tc>
        <w:tc>
          <w:tcPr>
            <w:tcW w:w="816"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21%</w:t>
            </w:r>
          </w:p>
        </w:tc>
        <w:tc>
          <w:tcPr>
            <w:tcW w:w="961" w:type="dxa"/>
            <w:tcBorders>
              <w:top w:val="single" w:sz="4" w:space="0" w:color="auto"/>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7.0 </w:t>
            </w:r>
          </w:p>
        </w:tc>
        <w:tc>
          <w:tcPr>
            <w:tcW w:w="692"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w:t>
            </w:r>
          </w:p>
        </w:tc>
        <w:tc>
          <w:tcPr>
            <w:tcW w:w="920"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Abyan</w:t>
            </w:r>
          </w:p>
        </w:tc>
        <w:tc>
          <w:tcPr>
            <w:tcW w:w="1046"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36.0 </w:t>
            </w:r>
          </w:p>
        </w:tc>
        <w:tc>
          <w:tcPr>
            <w:tcW w:w="793"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43%</w:t>
            </w:r>
          </w:p>
        </w:tc>
        <w:tc>
          <w:tcPr>
            <w:tcW w:w="819" w:type="dxa"/>
            <w:tcBorders>
              <w:top w:val="nil"/>
              <w:left w:val="single" w:sz="8" w:space="0" w:color="auto"/>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6 </w:t>
            </w:r>
          </w:p>
        </w:tc>
        <w:tc>
          <w:tcPr>
            <w:tcW w:w="715"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8%</w:t>
            </w:r>
          </w:p>
        </w:tc>
        <w:tc>
          <w:tcPr>
            <w:tcW w:w="878"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40 </w:t>
            </w:r>
          </w:p>
        </w:tc>
        <w:tc>
          <w:tcPr>
            <w:tcW w:w="816"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48%</w:t>
            </w:r>
          </w:p>
        </w:tc>
        <w:tc>
          <w:tcPr>
            <w:tcW w:w="961"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1.4 </w:t>
            </w:r>
          </w:p>
        </w:tc>
        <w:tc>
          <w:tcPr>
            <w:tcW w:w="692"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2%</w:t>
            </w:r>
          </w:p>
        </w:tc>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Dhamar</w:t>
            </w:r>
          </w:p>
        </w:tc>
        <w:tc>
          <w:tcPr>
            <w:tcW w:w="1046"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307.3 </w:t>
            </w:r>
          </w:p>
        </w:tc>
        <w:tc>
          <w:tcPr>
            <w:tcW w:w="793"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83%</w:t>
            </w:r>
          </w:p>
        </w:tc>
        <w:tc>
          <w:tcPr>
            <w:tcW w:w="819" w:type="dxa"/>
            <w:tcBorders>
              <w:top w:val="nil"/>
              <w:left w:val="single" w:sz="8" w:space="0" w:color="auto"/>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14 </w:t>
            </w:r>
          </w:p>
        </w:tc>
        <w:tc>
          <w:tcPr>
            <w:tcW w:w="715"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4%</w:t>
            </w:r>
          </w:p>
        </w:tc>
        <w:tc>
          <w:tcPr>
            <w:tcW w:w="878"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44 </w:t>
            </w:r>
          </w:p>
        </w:tc>
        <w:tc>
          <w:tcPr>
            <w:tcW w:w="816"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12%</w:t>
            </w:r>
          </w:p>
        </w:tc>
        <w:tc>
          <w:tcPr>
            <w:tcW w:w="961"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3.5 </w:t>
            </w:r>
          </w:p>
        </w:tc>
        <w:tc>
          <w:tcPr>
            <w:tcW w:w="692"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w:t>
            </w:r>
          </w:p>
        </w:tc>
        <w:tc>
          <w:tcPr>
            <w:tcW w:w="920"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Shabwah</w:t>
            </w:r>
          </w:p>
        </w:tc>
        <w:tc>
          <w:tcPr>
            <w:tcW w:w="1046"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17.9 </w:t>
            </w:r>
          </w:p>
        </w:tc>
        <w:tc>
          <w:tcPr>
            <w:tcW w:w="793"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48%</w:t>
            </w:r>
          </w:p>
        </w:tc>
        <w:tc>
          <w:tcPr>
            <w:tcW w:w="819" w:type="dxa"/>
            <w:tcBorders>
              <w:top w:val="nil"/>
              <w:left w:val="single" w:sz="8" w:space="0" w:color="auto"/>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 </w:t>
            </w:r>
          </w:p>
        </w:tc>
        <w:tc>
          <w:tcPr>
            <w:tcW w:w="715"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w:t>
            </w:r>
          </w:p>
        </w:tc>
        <w:tc>
          <w:tcPr>
            <w:tcW w:w="878" w:type="dxa"/>
            <w:tcBorders>
              <w:top w:val="nil"/>
              <w:left w:val="nil"/>
              <w:bottom w:val="nil"/>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16 </w:t>
            </w:r>
          </w:p>
        </w:tc>
        <w:tc>
          <w:tcPr>
            <w:tcW w:w="816" w:type="dxa"/>
            <w:tcBorders>
              <w:top w:val="nil"/>
              <w:left w:val="single" w:sz="4"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41%</w:t>
            </w:r>
          </w:p>
        </w:tc>
        <w:tc>
          <w:tcPr>
            <w:tcW w:w="961"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0.3 </w:t>
            </w:r>
          </w:p>
        </w:tc>
        <w:tc>
          <w:tcPr>
            <w:tcW w:w="692"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w:t>
            </w:r>
          </w:p>
        </w:tc>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Hajjah</w:t>
            </w:r>
          </w:p>
        </w:tc>
        <w:tc>
          <w:tcPr>
            <w:tcW w:w="1046"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372.9 </w:t>
            </w:r>
          </w:p>
        </w:tc>
        <w:tc>
          <w:tcPr>
            <w:tcW w:w="793"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84%</w:t>
            </w:r>
          </w:p>
        </w:tc>
        <w:tc>
          <w:tcPr>
            <w:tcW w:w="819" w:type="dxa"/>
            <w:tcBorders>
              <w:top w:val="nil"/>
              <w:left w:val="single" w:sz="8" w:space="0" w:color="auto"/>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27 </w:t>
            </w:r>
          </w:p>
        </w:tc>
        <w:tc>
          <w:tcPr>
            <w:tcW w:w="715"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6%</w:t>
            </w:r>
          </w:p>
        </w:tc>
        <w:tc>
          <w:tcPr>
            <w:tcW w:w="878" w:type="dxa"/>
            <w:tcBorders>
              <w:top w:val="single" w:sz="4" w:space="0" w:color="auto"/>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45 </w:t>
            </w:r>
          </w:p>
        </w:tc>
        <w:tc>
          <w:tcPr>
            <w:tcW w:w="816"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w:t>
            </w:r>
          </w:p>
        </w:tc>
        <w:tc>
          <w:tcPr>
            <w:tcW w:w="961"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0.1 </w:t>
            </w:r>
          </w:p>
        </w:tc>
        <w:tc>
          <w:tcPr>
            <w:tcW w:w="692"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0%</w:t>
            </w:r>
          </w:p>
        </w:tc>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AL-Baidha</w:t>
            </w:r>
          </w:p>
        </w:tc>
        <w:tc>
          <w:tcPr>
            <w:tcW w:w="1046"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207.1 </w:t>
            </w:r>
          </w:p>
        </w:tc>
        <w:tc>
          <w:tcPr>
            <w:tcW w:w="793"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78%</w:t>
            </w:r>
          </w:p>
        </w:tc>
        <w:tc>
          <w:tcPr>
            <w:tcW w:w="819" w:type="dxa"/>
            <w:tcBorders>
              <w:top w:val="nil"/>
              <w:left w:val="single" w:sz="8" w:space="0" w:color="auto"/>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9 </w:t>
            </w:r>
          </w:p>
        </w:tc>
        <w:tc>
          <w:tcPr>
            <w:tcW w:w="715"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3%</w:t>
            </w:r>
          </w:p>
        </w:tc>
        <w:tc>
          <w:tcPr>
            <w:tcW w:w="878" w:type="dxa"/>
            <w:tcBorders>
              <w:top w:val="nil"/>
              <w:left w:val="nil"/>
              <w:bottom w:val="nil"/>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48 </w:t>
            </w:r>
          </w:p>
        </w:tc>
        <w:tc>
          <w:tcPr>
            <w:tcW w:w="816" w:type="dxa"/>
            <w:tcBorders>
              <w:top w:val="nil"/>
              <w:left w:val="single" w:sz="4"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18%</w:t>
            </w:r>
          </w:p>
        </w:tc>
        <w:tc>
          <w:tcPr>
            <w:tcW w:w="961"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0.6 </w:t>
            </w:r>
          </w:p>
        </w:tc>
        <w:tc>
          <w:tcPr>
            <w:tcW w:w="692"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0%</w:t>
            </w:r>
          </w:p>
        </w:tc>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Lahj</w:t>
            </w:r>
          </w:p>
        </w:tc>
        <w:tc>
          <w:tcPr>
            <w:tcW w:w="1046"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39.9 </w:t>
            </w:r>
          </w:p>
        </w:tc>
        <w:tc>
          <w:tcPr>
            <w:tcW w:w="793"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31%</w:t>
            </w:r>
          </w:p>
        </w:tc>
        <w:tc>
          <w:tcPr>
            <w:tcW w:w="819" w:type="dxa"/>
            <w:tcBorders>
              <w:top w:val="nil"/>
              <w:left w:val="single" w:sz="8" w:space="0" w:color="auto"/>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6 </w:t>
            </w:r>
          </w:p>
        </w:tc>
        <w:tc>
          <w:tcPr>
            <w:tcW w:w="715"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5%</w:t>
            </w:r>
          </w:p>
        </w:tc>
        <w:tc>
          <w:tcPr>
            <w:tcW w:w="878" w:type="dxa"/>
            <w:tcBorders>
              <w:top w:val="single" w:sz="4" w:space="0" w:color="auto"/>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48 </w:t>
            </w:r>
          </w:p>
        </w:tc>
        <w:tc>
          <w:tcPr>
            <w:tcW w:w="816"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37%</w:t>
            </w:r>
          </w:p>
        </w:tc>
        <w:tc>
          <w:tcPr>
            <w:tcW w:w="961"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35.1 </w:t>
            </w:r>
          </w:p>
        </w:tc>
        <w:tc>
          <w:tcPr>
            <w:tcW w:w="692"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27%</w:t>
            </w:r>
          </w:p>
        </w:tc>
        <w:tc>
          <w:tcPr>
            <w:tcW w:w="920"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Sa'adah</w:t>
            </w:r>
          </w:p>
        </w:tc>
        <w:tc>
          <w:tcPr>
            <w:tcW w:w="1046"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242.6 </w:t>
            </w:r>
          </w:p>
        </w:tc>
        <w:tc>
          <w:tcPr>
            <w:tcW w:w="793"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91%</w:t>
            </w:r>
          </w:p>
        </w:tc>
        <w:tc>
          <w:tcPr>
            <w:tcW w:w="819" w:type="dxa"/>
            <w:tcBorders>
              <w:top w:val="nil"/>
              <w:left w:val="single" w:sz="8" w:space="0" w:color="auto"/>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 </w:t>
            </w:r>
          </w:p>
        </w:tc>
        <w:tc>
          <w:tcPr>
            <w:tcW w:w="715"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w:t>
            </w:r>
          </w:p>
        </w:tc>
        <w:tc>
          <w:tcPr>
            <w:tcW w:w="878" w:type="dxa"/>
            <w:tcBorders>
              <w:top w:val="nil"/>
              <w:left w:val="nil"/>
              <w:bottom w:val="nil"/>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18 </w:t>
            </w:r>
          </w:p>
        </w:tc>
        <w:tc>
          <w:tcPr>
            <w:tcW w:w="816" w:type="dxa"/>
            <w:tcBorders>
              <w:top w:val="nil"/>
              <w:left w:val="single" w:sz="4"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7%</w:t>
            </w:r>
          </w:p>
        </w:tc>
        <w:tc>
          <w:tcPr>
            <w:tcW w:w="961"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1.0 </w:t>
            </w:r>
          </w:p>
        </w:tc>
        <w:tc>
          <w:tcPr>
            <w:tcW w:w="692"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0%</w:t>
            </w:r>
          </w:p>
        </w:tc>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AL-Mahweet</w:t>
            </w:r>
          </w:p>
        </w:tc>
        <w:tc>
          <w:tcPr>
            <w:tcW w:w="1046"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86.2 </w:t>
            </w:r>
          </w:p>
        </w:tc>
        <w:tc>
          <w:tcPr>
            <w:tcW w:w="793"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88%</w:t>
            </w:r>
          </w:p>
        </w:tc>
        <w:tc>
          <w:tcPr>
            <w:tcW w:w="819" w:type="dxa"/>
            <w:tcBorders>
              <w:top w:val="nil"/>
              <w:left w:val="single" w:sz="8" w:space="0" w:color="auto"/>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4 </w:t>
            </w:r>
          </w:p>
        </w:tc>
        <w:tc>
          <w:tcPr>
            <w:tcW w:w="715"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4%</w:t>
            </w:r>
          </w:p>
        </w:tc>
        <w:tc>
          <w:tcPr>
            <w:tcW w:w="878" w:type="dxa"/>
            <w:tcBorders>
              <w:top w:val="single" w:sz="4" w:space="0" w:color="auto"/>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8 </w:t>
            </w:r>
          </w:p>
        </w:tc>
        <w:tc>
          <w:tcPr>
            <w:tcW w:w="816"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8%</w:t>
            </w:r>
          </w:p>
        </w:tc>
        <w:tc>
          <w:tcPr>
            <w:tcW w:w="961"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0.1 </w:t>
            </w:r>
          </w:p>
        </w:tc>
        <w:tc>
          <w:tcPr>
            <w:tcW w:w="692"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0%</w:t>
            </w:r>
          </w:p>
        </w:tc>
        <w:tc>
          <w:tcPr>
            <w:tcW w:w="920"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AL-Maharah</w:t>
            </w:r>
          </w:p>
        </w:tc>
        <w:tc>
          <w:tcPr>
            <w:tcW w:w="1046"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10.5 </w:t>
            </w:r>
          </w:p>
        </w:tc>
        <w:tc>
          <w:tcPr>
            <w:tcW w:w="793"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23%</w:t>
            </w:r>
          </w:p>
        </w:tc>
        <w:tc>
          <w:tcPr>
            <w:tcW w:w="819" w:type="dxa"/>
            <w:tcBorders>
              <w:top w:val="nil"/>
              <w:left w:val="single" w:sz="8" w:space="0" w:color="auto"/>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17 </w:t>
            </w:r>
          </w:p>
        </w:tc>
        <w:tc>
          <w:tcPr>
            <w:tcW w:w="715"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36%</w:t>
            </w:r>
          </w:p>
        </w:tc>
        <w:tc>
          <w:tcPr>
            <w:tcW w:w="878" w:type="dxa"/>
            <w:tcBorders>
              <w:top w:val="nil"/>
              <w:left w:val="nil"/>
              <w:bottom w:val="nil"/>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17 </w:t>
            </w:r>
          </w:p>
        </w:tc>
        <w:tc>
          <w:tcPr>
            <w:tcW w:w="816" w:type="dxa"/>
            <w:tcBorders>
              <w:top w:val="nil"/>
              <w:left w:val="single" w:sz="4"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36%</w:t>
            </w:r>
          </w:p>
        </w:tc>
        <w:tc>
          <w:tcPr>
            <w:tcW w:w="961"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2.1 </w:t>
            </w:r>
          </w:p>
        </w:tc>
        <w:tc>
          <w:tcPr>
            <w:tcW w:w="692"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5%</w:t>
            </w:r>
          </w:p>
        </w:tc>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Ma'arib</w:t>
            </w:r>
          </w:p>
        </w:tc>
        <w:tc>
          <w:tcPr>
            <w:tcW w:w="1046"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52.9 </w:t>
            </w:r>
          </w:p>
        </w:tc>
        <w:tc>
          <w:tcPr>
            <w:tcW w:w="793"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63%</w:t>
            </w:r>
          </w:p>
        </w:tc>
        <w:tc>
          <w:tcPr>
            <w:tcW w:w="819" w:type="dxa"/>
            <w:tcBorders>
              <w:top w:val="nil"/>
              <w:left w:val="single" w:sz="8" w:space="0" w:color="auto"/>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7 </w:t>
            </w:r>
          </w:p>
        </w:tc>
        <w:tc>
          <w:tcPr>
            <w:tcW w:w="715"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9%</w:t>
            </w:r>
          </w:p>
        </w:tc>
        <w:tc>
          <w:tcPr>
            <w:tcW w:w="878" w:type="dxa"/>
            <w:tcBorders>
              <w:top w:val="single" w:sz="4" w:space="0" w:color="auto"/>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23 </w:t>
            </w:r>
          </w:p>
        </w:tc>
        <w:tc>
          <w:tcPr>
            <w:tcW w:w="816"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27%</w:t>
            </w:r>
          </w:p>
        </w:tc>
        <w:tc>
          <w:tcPr>
            <w:tcW w:w="961"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0.9 </w:t>
            </w:r>
          </w:p>
        </w:tc>
        <w:tc>
          <w:tcPr>
            <w:tcW w:w="692"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w:t>
            </w:r>
          </w:p>
        </w:tc>
        <w:tc>
          <w:tcPr>
            <w:tcW w:w="920"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AL-Jawf</w:t>
            </w:r>
          </w:p>
        </w:tc>
        <w:tc>
          <w:tcPr>
            <w:tcW w:w="1046"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18.6 </w:t>
            </w:r>
          </w:p>
        </w:tc>
        <w:tc>
          <w:tcPr>
            <w:tcW w:w="793"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86%</w:t>
            </w:r>
          </w:p>
        </w:tc>
        <w:tc>
          <w:tcPr>
            <w:tcW w:w="819" w:type="dxa"/>
            <w:tcBorders>
              <w:top w:val="nil"/>
              <w:left w:val="single" w:sz="8" w:space="0" w:color="auto"/>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 </w:t>
            </w:r>
          </w:p>
        </w:tc>
        <w:tc>
          <w:tcPr>
            <w:tcW w:w="715"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3%</w:t>
            </w:r>
          </w:p>
        </w:tc>
        <w:tc>
          <w:tcPr>
            <w:tcW w:w="878"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 </w:t>
            </w:r>
          </w:p>
        </w:tc>
        <w:tc>
          <w:tcPr>
            <w:tcW w:w="816"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11%</w:t>
            </w:r>
          </w:p>
        </w:tc>
        <w:tc>
          <w:tcPr>
            <w:tcW w:w="961"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   </w:t>
            </w:r>
          </w:p>
        </w:tc>
        <w:tc>
          <w:tcPr>
            <w:tcW w:w="692"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0%</w:t>
            </w:r>
          </w:p>
        </w:tc>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Amran</w:t>
            </w:r>
          </w:p>
        </w:tc>
        <w:tc>
          <w:tcPr>
            <w:tcW w:w="1046"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322.1 </w:t>
            </w:r>
          </w:p>
        </w:tc>
        <w:tc>
          <w:tcPr>
            <w:tcW w:w="793"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89%</w:t>
            </w:r>
          </w:p>
        </w:tc>
        <w:tc>
          <w:tcPr>
            <w:tcW w:w="819" w:type="dxa"/>
            <w:tcBorders>
              <w:top w:val="nil"/>
              <w:left w:val="single" w:sz="8" w:space="0" w:color="auto"/>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6 </w:t>
            </w:r>
          </w:p>
        </w:tc>
        <w:tc>
          <w:tcPr>
            <w:tcW w:w="715"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2%</w:t>
            </w:r>
          </w:p>
        </w:tc>
        <w:tc>
          <w:tcPr>
            <w:tcW w:w="878"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30 </w:t>
            </w:r>
          </w:p>
        </w:tc>
        <w:tc>
          <w:tcPr>
            <w:tcW w:w="816" w:type="dxa"/>
            <w:tcBorders>
              <w:top w:val="nil"/>
              <w:left w:val="nil"/>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8%</w:t>
            </w:r>
          </w:p>
        </w:tc>
        <w:tc>
          <w:tcPr>
            <w:tcW w:w="961" w:type="dxa"/>
            <w:tcBorders>
              <w:top w:val="nil"/>
              <w:left w:val="nil"/>
              <w:bottom w:val="single" w:sz="4" w:space="0" w:color="auto"/>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3.5 </w:t>
            </w:r>
          </w:p>
        </w:tc>
        <w:tc>
          <w:tcPr>
            <w:tcW w:w="692" w:type="dxa"/>
            <w:tcBorders>
              <w:top w:val="nil"/>
              <w:left w:val="nil"/>
              <w:bottom w:val="single" w:sz="4" w:space="0" w:color="auto"/>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w:t>
            </w:r>
          </w:p>
        </w:tc>
        <w:tc>
          <w:tcPr>
            <w:tcW w:w="920" w:type="dxa"/>
            <w:tcBorders>
              <w:top w:val="nil"/>
              <w:left w:val="single" w:sz="8" w:space="0" w:color="auto"/>
              <w:bottom w:val="single" w:sz="4" w:space="0" w:color="auto"/>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00"/>
        </w:trPr>
        <w:tc>
          <w:tcPr>
            <w:tcW w:w="2301"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AL-Dhalia'a</w:t>
            </w:r>
          </w:p>
        </w:tc>
        <w:tc>
          <w:tcPr>
            <w:tcW w:w="1046"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177.4 </w:t>
            </w:r>
          </w:p>
        </w:tc>
        <w:tc>
          <w:tcPr>
            <w:tcW w:w="793"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86%</w:t>
            </w:r>
          </w:p>
        </w:tc>
        <w:tc>
          <w:tcPr>
            <w:tcW w:w="819" w:type="dxa"/>
            <w:tcBorders>
              <w:top w:val="nil"/>
              <w:left w:val="single" w:sz="8" w:space="0" w:color="auto"/>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5 </w:t>
            </w:r>
          </w:p>
        </w:tc>
        <w:tc>
          <w:tcPr>
            <w:tcW w:w="715"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3%</w:t>
            </w:r>
          </w:p>
        </w:tc>
        <w:tc>
          <w:tcPr>
            <w:tcW w:w="878"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24 </w:t>
            </w:r>
          </w:p>
        </w:tc>
        <w:tc>
          <w:tcPr>
            <w:tcW w:w="816" w:type="dxa"/>
            <w:tcBorders>
              <w:top w:val="nil"/>
              <w:left w:val="nil"/>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11%</w:t>
            </w:r>
          </w:p>
        </w:tc>
        <w:tc>
          <w:tcPr>
            <w:tcW w:w="961" w:type="dxa"/>
            <w:tcBorders>
              <w:top w:val="nil"/>
              <w:left w:val="nil"/>
              <w:bottom w:val="single" w:sz="4"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0.6 </w:t>
            </w:r>
          </w:p>
        </w:tc>
        <w:tc>
          <w:tcPr>
            <w:tcW w:w="692" w:type="dxa"/>
            <w:tcBorders>
              <w:top w:val="nil"/>
              <w:left w:val="nil"/>
              <w:bottom w:val="single" w:sz="4"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0%</w:t>
            </w:r>
          </w:p>
        </w:tc>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30"/>
        </w:trPr>
        <w:tc>
          <w:tcPr>
            <w:tcW w:w="2301" w:type="dxa"/>
            <w:tcBorders>
              <w:top w:val="nil"/>
              <w:left w:val="single" w:sz="8" w:space="0" w:color="auto"/>
              <w:bottom w:val="nil"/>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Raima</w:t>
            </w:r>
          </w:p>
        </w:tc>
        <w:tc>
          <w:tcPr>
            <w:tcW w:w="1046" w:type="dxa"/>
            <w:tcBorders>
              <w:top w:val="nil"/>
              <w:left w:val="nil"/>
              <w:bottom w:val="nil"/>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39.4 </w:t>
            </w:r>
          </w:p>
        </w:tc>
        <w:tc>
          <w:tcPr>
            <w:tcW w:w="793" w:type="dxa"/>
            <w:tcBorders>
              <w:top w:val="nil"/>
              <w:left w:val="nil"/>
              <w:bottom w:val="nil"/>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90%</w:t>
            </w:r>
          </w:p>
        </w:tc>
        <w:tc>
          <w:tcPr>
            <w:tcW w:w="819" w:type="dxa"/>
            <w:tcBorders>
              <w:top w:val="nil"/>
              <w:left w:val="single" w:sz="8" w:space="0" w:color="auto"/>
              <w:bottom w:val="nil"/>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 </w:t>
            </w:r>
          </w:p>
        </w:tc>
        <w:tc>
          <w:tcPr>
            <w:tcW w:w="715" w:type="dxa"/>
            <w:tcBorders>
              <w:top w:val="nil"/>
              <w:left w:val="nil"/>
              <w:bottom w:val="nil"/>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5%</w:t>
            </w:r>
          </w:p>
        </w:tc>
        <w:tc>
          <w:tcPr>
            <w:tcW w:w="878" w:type="dxa"/>
            <w:tcBorders>
              <w:top w:val="nil"/>
              <w:left w:val="nil"/>
              <w:bottom w:val="nil"/>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2 </w:t>
            </w:r>
          </w:p>
        </w:tc>
        <w:tc>
          <w:tcPr>
            <w:tcW w:w="816" w:type="dxa"/>
            <w:tcBorders>
              <w:top w:val="nil"/>
              <w:left w:val="nil"/>
              <w:bottom w:val="nil"/>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5%</w:t>
            </w:r>
          </w:p>
        </w:tc>
        <w:tc>
          <w:tcPr>
            <w:tcW w:w="961" w:type="dxa"/>
            <w:tcBorders>
              <w:top w:val="nil"/>
              <w:left w:val="nil"/>
              <w:bottom w:val="nil"/>
              <w:right w:val="single" w:sz="4"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 xml:space="preserve">           0.0 </w:t>
            </w:r>
          </w:p>
        </w:tc>
        <w:tc>
          <w:tcPr>
            <w:tcW w:w="692" w:type="dxa"/>
            <w:tcBorders>
              <w:top w:val="nil"/>
              <w:left w:val="nil"/>
              <w:bottom w:val="nil"/>
              <w:right w:val="nil"/>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0%</w:t>
            </w:r>
          </w:p>
        </w:tc>
        <w:tc>
          <w:tcPr>
            <w:tcW w:w="920" w:type="dxa"/>
            <w:tcBorders>
              <w:top w:val="nil"/>
              <w:left w:val="single" w:sz="8" w:space="0" w:color="auto"/>
              <w:bottom w:val="nil"/>
              <w:right w:val="single" w:sz="8" w:space="0" w:color="auto"/>
            </w:tcBorders>
            <w:shd w:val="clear" w:color="000000" w:fill="BFBFBF"/>
            <w:noWrap/>
            <w:vAlign w:val="center"/>
            <w:hideMark/>
          </w:tcPr>
          <w:p w:rsidR="0030656B" w:rsidRPr="0030656B" w:rsidRDefault="0030656B" w:rsidP="0030656B">
            <w:pPr>
              <w:spacing w:after="0" w:line="240" w:lineRule="auto"/>
              <w:jc w:val="center"/>
              <w:rPr>
                <w:rFonts w:ascii="Cambria" w:eastAsia="Times New Roman" w:hAnsi="Cambria" w:cs="Times New Roman"/>
                <w:color w:val="000000"/>
                <w:sz w:val="20"/>
                <w:szCs w:val="20"/>
              </w:rPr>
            </w:pPr>
            <w:r w:rsidRPr="0030656B">
              <w:rPr>
                <w:rFonts w:ascii="Cambria" w:eastAsia="Times New Roman" w:hAnsi="Cambria" w:cs="Times New Roman"/>
                <w:color w:val="000000"/>
                <w:sz w:val="20"/>
                <w:szCs w:val="20"/>
              </w:rPr>
              <w:t>100%</w:t>
            </w:r>
          </w:p>
        </w:tc>
      </w:tr>
      <w:tr w:rsidR="0030656B" w:rsidRPr="0030656B" w:rsidTr="0030656B">
        <w:trPr>
          <w:trHeight w:val="330"/>
        </w:trPr>
        <w:tc>
          <w:tcPr>
            <w:tcW w:w="2301" w:type="dxa"/>
            <w:tcBorders>
              <w:top w:val="single" w:sz="8" w:space="0" w:color="auto"/>
              <w:left w:val="single" w:sz="8" w:space="0" w:color="auto"/>
              <w:bottom w:val="single" w:sz="8"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Total</w:t>
            </w:r>
          </w:p>
        </w:tc>
        <w:tc>
          <w:tcPr>
            <w:tcW w:w="10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 xml:space="preserve">     7,518 </w:t>
            </w:r>
          </w:p>
        </w:tc>
        <w:tc>
          <w:tcPr>
            <w:tcW w:w="793" w:type="dxa"/>
            <w:tcBorders>
              <w:top w:val="single" w:sz="8" w:space="0" w:color="auto"/>
              <w:left w:val="nil"/>
              <w:bottom w:val="single" w:sz="8"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73%</w:t>
            </w:r>
          </w:p>
        </w:tc>
        <w:tc>
          <w:tcPr>
            <w:tcW w:w="81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 xml:space="preserve">    660 </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6%</w:t>
            </w:r>
          </w:p>
        </w:tc>
        <w:tc>
          <w:tcPr>
            <w:tcW w:w="878" w:type="dxa"/>
            <w:tcBorders>
              <w:top w:val="single" w:sz="8" w:space="0" w:color="auto"/>
              <w:left w:val="nil"/>
              <w:bottom w:val="single" w:sz="8"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 xml:space="preserve"> 1,914 </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19%</w:t>
            </w:r>
          </w:p>
        </w:tc>
        <w:tc>
          <w:tcPr>
            <w:tcW w:w="961" w:type="dxa"/>
            <w:tcBorders>
              <w:top w:val="single" w:sz="8" w:space="0" w:color="auto"/>
              <w:left w:val="nil"/>
              <w:bottom w:val="single" w:sz="8" w:space="0" w:color="auto"/>
              <w:right w:val="single" w:sz="4"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 xml:space="preserve">       164 </w:t>
            </w:r>
          </w:p>
        </w:tc>
        <w:tc>
          <w:tcPr>
            <w:tcW w:w="692" w:type="dxa"/>
            <w:tcBorders>
              <w:top w:val="single" w:sz="8" w:space="0" w:color="auto"/>
              <w:left w:val="nil"/>
              <w:bottom w:val="single" w:sz="8" w:space="0" w:color="auto"/>
              <w:right w:val="nil"/>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2%</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656B" w:rsidRPr="0030656B" w:rsidRDefault="0030656B" w:rsidP="0030656B">
            <w:pPr>
              <w:spacing w:after="0" w:line="240" w:lineRule="auto"/>
              <w:jc w:val="center"/>
              <w:rPr>
                <w:rFonts w:ascii="Cambria" w:eastAsia="Times New Roman" w:hAnsi="Cambria" w:cs="Times New Roman"/>
                <w:b/>
                <w:bCs/>
                <w:color w:val="000000"/>
              </w:rPr>
            </w:pPr>
            <w:r w:rsidRPr="0030656B">
              <w:rPr>
                <w:rFonts w:ascii="Cambria" w:eastAsia="Times New Roman" w:hAnsi="Cambria" w:cs="Times New Roman"/>
                <w:b/>
                <w:bCs/>
                <w:color w:val="000000"/>
              </w:rPr>
              <w:t>100%</w:t>
            </w:r>
          </w:p>
        </w:tc>
      </w:tr>
    </w:tbl>
    <w:p w:rsidR="0030656B" w:rsidRDefault="0030656B" w:rsidP="000E598A">
      <w:pPr>
        <w:spacing w:line="480" w:lineRule="auto"/>
        <w:ind w:firstLine="709"/>
        <w:rPr>
          <w:rFonts w:asciiTheme="majorHAnsi" w:hAnsiTheme="majorHAnsi" w:cstheme="majorBidi"/>
          <w:sz w:val="24"/>
          <w:szCs w:val="24"/>
        </w:rPr>
      </w:pPr>
    </w:p>
    <w:p w:rsidR="008D71F9" w:rsidRPr="00A15FED" w:rsidRDefault="008D71F9" w:rsidP="008D71F9">
      <w:pPr>
        <w:spacing w:line="480" w:lineRule="auto"/>
        <w:jc w:val="center"/>
        <w:rPr>
          <w:rFonts w:asciiTheme="majorHAnsi" w:hAnsiTheme="majorHAnsi"/>
          <w:b/>
          <w:bCs/>
          <w:sz w:val="24"/>
          <w:szCs w:val="24"/>
        </w:rPr>
      </w:pPr>
      <w:r w:rsidRPr="00A15FED">
        <w:rPr>
          <w:rFonts w:asciiTheme="majorHAnsi" w:hAnsiTheme="majorHAnsi"/>
          <w:b/>
          <w:bCs/>
          <w:sz w:val="24"/>
          <w:szCs w:val="24"/>
        </w:rPr>
        <w:t>GST In Yemen</w:t>
      </w:r>
    </w:p>
    <w:p w:rsidR="008D71F9" w:rsidRPr="00A15FED" w:rsidRDefault="008D71F9" w:rsidP="009706B2">
      <w:pPr>
        <w:pStyle w:val="ParagraphNumbering"/>
        <w:numPr>
          <w:ilvl w:val="0"/>
          <w:numId w:val="0"/>
        </w:numPr>
        <w:tabs>
          <w:tab w:val="num" w:pos="1170"/>
        </w:tabs>
        <w:spacing w:line="480" w:lineRule="auto"/>
        <w:ind w:firstLine="709"/>
        <w:rPr>
          <w:rFonts w:asciiTheme="majorHAnsi" w:hAnsiTheme="majorHAnsi"/>
          <w:szCs w:val="24"/>
        </w:rPr>
      </w:pPr>
      <w:r w:rsidRPr="00A15FED">
        <w:rPr>
          <w:rFonts w:asciiTheme="majorHAnsi" w:hAnsiTheme="majorHAnsi"/>
          <w:szCs w:val="24"/>
        </w:rPr>
        <w:t xml:space="preserve">There have been several attempts to introduce GST in Yemen. A GST law was passed by parliament in January 2002. It envisaged that GST would be introduced on September 1, 2002.  Introduction of the law was postponed to January 1, 2004 and postponed again pending changes to the law. An amended GST law took effect on July 18, 2005. This </w:t>
      </w:r>
      <w:r w:rsidRPr="00A15FED">
        <w:rPr>
          <w:rFonts w:asciiTheme="majorHAnsi" w:hAnsiTheme="majorHAnsi"/>
          <w:szCs w:val="24"/>
        </w:rPr>
        <w:lastRenderedPageBreak/>
        <w:t xml:space="preserve">replaced a tax on production, consumption and services (TPCS). Introduction of the amended GST was deferred to January 1, 2007. This postponement led to a set of interim taxing arrangements being put in place which included all importers paying GST at 5% plus a further 3% at importation intended to represent the tax on value added after import. The amended GST law was repeatedly postponed after 2007 due (largely) to pressures from the business community. On April 20, 2010, by Cabinet decree No. 113, the government decided to proceed with the full introduction of the amended GST law, though the precise timing was not specified. Implementation commenced on July 1, 2010. </w:t>
      </w:r>
    </w:p>
    <w:p w:rsidR="008D71F9" w:rsidRPr="00A15FED" w:rsidRDefault="008D71F9" w:rsidP="009706B2">
      <w:pPr>
        <w:pStyle w:val="ParagraphNumbering"/>
        <w:numPr>
          <w:ilvl w:val="0"/>
          <w:numId w:val="0"/>
        </w:numPr>
        <w:tabs>
          <w:tab w:val="num" w:pos="1080"/>
          <w:tab w:val="num" w:pos="1170"/>
        </w:tabs>
        <w:spacing w:line="480" w:lineRule="auto"/>
        <w:ind w:firstLine="709"/>
        <w:rPr>
          <w:rFonts w:asciiTheme="majorHAnsi" w:hAnsiTheme="majorHAnsi"/>
          <w:szCs w:val="24"/>
        </w:rPr>
      </w:pPr>
      <w:r w:rsidRPr="00A15FED">
        <w:rPr>
          <w:rFonts w:asciiTheme="majorHAnsi" w:hAnsiTheme="majorHAnsi"/>
          <w:szCs w:val="24"/>
        </w:rPr>
        <w:t xml:space="preserve">As summarized in Table </w:t>
      </w:r>
      <w:r w:rsidR="009706B2">
        <w:rPr>
          <w:rFonts w:asciiTheme="majorHAnsi" w:hAnsiTheme="majorHAnsi"/>
          <w:szCs w:val="24"/>
        </w:rPr>
        <w:t>8</w:t>
      </w:r>
      <w:r w:rsidRPr="00A15FED">
        <w:rPr>
          <w:rFonts w:asciiTheme="majorHAnsi" w:hAnsiTheme="majorHAnsi"/>
          <w:szCs w:val="24"/>
        </w:rPr>
        <w:t>, there are 3,495 businesses registered for GST, including 886 entities that are voluntarily registered as they are below the mandatory turnover threshold of YRls 50 Million. It is assumed that mandatorily registered entities (2,609 businesses) represent less than 10% of those businesses in Yemen meeting the threshold requirement for mandatory registration.</w:t>
      </w:r>
    </w:p>
    <w:p w:rsidR="008D71F9" w:rsidRPr="00A15FED" w:rsidRDefault="008D71F9" w:rsidP="00A53A68">
      <w:pPr>
        <w:pStyle w:val="ParagraphNumbering"/>
        <w:numPr>
          <w:ilvl w:val="0"/>
          <w:numId w:val="0"/>
        </w:numPr>
        <w:tabs>
          <w:tab w:val="num" w:pos="1170"/>
        </w:tabs>
        <w:spacing w:line="480" w:lineRule="auto"/>
        <w:rPr>
          <w:rFonts w:asciiTheme="majorHAnsi" w:hAnsiTheme="majorHAnsi"/>
          <w:szCs w:val="24"/>
        </w:rPr>
      </w:pPr>
      <w:r w:rsidRPr="00A15FED">
        <w:rPr>
          <w:rFonts w:asciiTheme="majorHAnsi" w:hAnsiTheme="majorHAnsi"/>
          <w:szCs w:val="24"/>
        </w:rPr>
        <w:fldChar w:fldCharType="begin"/>
      </w:r>
      <w:r w:rsidRPr="00A15FED">
        <w:rPr>
          <w:rFonts w:asciiTheme="majorHAnsi" w:hAnsiTheme="majorHAnsi"/>
          <w:szCs w:val="24"/>
        </w:rPr>
        <w:instrText xml:space="preserve"> TC "</w:instrText>
      </w:r>
      <w:bookmarkStart w:id="0" w:name="_Toc286035788"/>
      <w:bookmarkStart w:id="1" w:name="_Toc286036900"/>
      <w:bookmarkStart w:id="2" w:name="_Toc286059524"/>
      <w:bookmarkStart w:id="3" w:name="_Toc286060295"/>
      <w:bookmarkStart w:id="4" w:name="_Toc286061100"/>
      <w:r w:rsidRPr="00A15FED">
        <w:rPr>
          <w:rFonts w:asciiTheme="majorHAnsi" w:hAnsiTheme="majorHAnsi"/>
          <w:szCs w:val="24"/>
        </w:rPr>
        <w:instrText>Table 2. Taxpayers Registered for GST</w:instrText>
      </w:r>
      <w:bookmarkEnd w:id="0"/>
      <w:bookmarkEnd w:id="1"/>
      <w:bookmarkEnd w:id="2"/>
      <w:bookmarkEnd w:id="3"/>
      <w:bookmarkEnd w:id="4"/>
      <w:r w:rsidRPr="00A15FED">
        <w:rPr>
          <w:rFonts w:asciiTheme="majorHAnsi" w:hAnsiTheme="majorHAnsi"/>
          <w:szCs w:val="24"/>
        </w:rPr>
        <w:instrText xml:space="preserve"> "\f B </w:instrText>
      </w:r>
      <w:r w:rsidRPr="00A15FED">
        <w:rPr>
          <w:rFonts w:asciiTheme="majorHAnsi" w:hAnsiTheme="majorHAnsi"/>
          <w:szCs w:val="24"/>
        </w:rPr>
        <w:fldChar w:fldCharType="end"/>
      </w:r>
      <w:r w:rsidRPr="00A15FED">
        <w:rPr>
          <w:rFonts w:asciiTheme="majorHAnsi" w:hAnsiTheme="majorHAnsi"/>
          <w:szCs w:val="24"/>
        </w:rPr>
        <w:t xml:space="preserve">Table </w:t>
      </w:r>
      <w:r w:rsidR="00A53A68">
        <w:rPr>
          <w:rFonts w:asciiTheme="majorHAnsi" w:hAnsiTheme="majorHAnsi"/>
          <w:szCs w:val="24"/>
        </w:rPr>
        <w:t>9</w:t>
      </w:r>
      <w:r w:rsidR="009706B2">
        <w:rPr>
          <w:rFonts w:asciiTheme="majorHAnsi" w:hAnsiTheme="majorHAnsi"/>
          <w:szCs w:val="24"/>
        </w:rPr>
        <w:t>:</w:t>
      </w:r>
      <w:r w:rsidRPr="00A15FED">
        <w:rPr>
          <w:rFonts w:asciiTheme="majorHAnsi" w:hAnsiTheme="majorHAnsi"/>
          <w:szCs w:val="24"/>
        </w:rPr>
        <w:t xml:space="preserve"> </w:t>
      </w:r>
      <w:r w:rsidRPr="009706B2">
        <w:rPr>
          <w:rFonts w:asciiTheme="majorHAnsi" w:hAnsiTheme="majorHAnsi"/>
          <w:b/>
          <w:bCs/>
          <w:i/>
          <w:iCs/>
          <w:szCs w:val="24"/>
        </w:rPr>
        <w:t>Taxpayers Registered for GST</w:t>
      </w:r>
      <w:r w:rsidRPr="00A15FED">
        <w:rPr>
          <w:rFonts w:asciiTheme="majorHAnsi" w:hAnsiTheme="majorHAnsi"/>
          <w:szCs w:val="24"/>
        </w:rPr>
        <w:t xml:space="preserve"> </w:t>
      </w:r>
    </w:p>
    <w:tbl>
      <w:tblPr>
        <w:tblStyle w:val="TableGrid"/>
        <w:tblW w:w="0" w:type="auto"/>
        <w:jc w:val="center"/>
        <w:tblLook w:val="04A0"/>
      </w:tblPr>
      <w:tblGrid>
        <w:gridCol w:w="1843"/>
        <w:gridCol w:w="2225"/>
        <w:gridCol w:w="2070"/>
        <w:gridCol w:w="1234"/>
      </w:tblGrid>
      <w:tr w:rsidR="008D71F9" w:rsidRPr="00A15FED" w:rsidTr="009B6A4E">
        <w:trPr>
          <w:jc w:val="center"/>
        </w:trPr>
        <w:tc>
          <w:tcPr>
            <w:tcW w:w="1843" w:type="dxa"/>
          </w:tcPr>
          <w:p w:rsidR="008D71F9" w:rsidRPr="00A15FED" w:rsidRDefault="008D71F9" w:rsidP="009B6A4E">
            <w:pPr>
              <w:pStyle w:val="ParagraphNumbering"/>
              <w:numPr>
                <w:ilvl w:val="0"/>
                <w:numId w:val="0"/>
              </w:numPr>
              <w:spacing w:after="120" w:line="240" w:lineRule="auto"/>
              <w:jc w:val="center"/>
              <w:rPr>
                <w:rFonts w:asciiTheme="majorHAnsi" w:hAnsiTheme="majorHAnsi" w:cs="Arial"/>
                <w:b/>
                <w:szCs w:val="24"/>
              </w:rPr>
            </w:pPr>
            <w:r w:rsidRPr="00A15FED">
              <w:rPr>
                <w:rFonts w:asciiTheme="majorHAnsi" w:hAnsiTheme="majorHAnsi" w:cs="Arial"/>
                <w:b/>
                <w:szCs w:val="24"/>
              </w:rPr>
              <w:t>Sector</w:t>
            </w:r>
          </w:p>
        </w:tc>
        <w:tc>
          <w:tcPr>
            <w:tcW w:w="2225" w:type="dxa"/>
          </w:tcPr>
          <w:p w:rsidR="008D71F9" w:rsidRPr="00A15FED" w:rsidRDefault="008D71F9" w:rsidP="009B6A4E">
            <w:pPr>
              <w:pStyle w:val="ParagraphNumbering"/>
              <w:numPr>
                <w:ilvl w:val="0"/>
                <w:numId w:val="0"/>
              </w:numPr>
              <w:spacing w:after="120" w:line="240" w:lineRule="auto"/>
              <w:jc w:val="center"/>
              <w:rPr>
                <w:rFonts w:asciiTheme="majorHAnsi" w:hAnsiTheme="majorHAnsi" w:cs="Arial"/>
                <w:b/>
                <w:szCs w:val="24"/>
              </w:rPr>
            </w:pPr>
            <w:r w:rsidRPr="00A15FED">
              <w:rPr>
                <w:rFonts w:asciiTheme="majorHAnsi" w:hAnsiTheme="majorHAnsi" w:cs="Arial"/>
                <w:b/>
                <w:szCs w:val="24"/>
              </w:rPr>
              <w:t>Above Registration threshold</w:t>
            </w:r>
          </w:p>
        </w:tc>
        <w:tc>
          <w:tcPr>
            <w:tcW w:w="2070" w:type="dxa"/>
          </w:tcPr>
          <w:p w:rsidR="008D71F9" w:rsidRPr="00A15FED" w:rsidRDefault="008D71F9" w:rsidP="009B6A4E">
            <w:pPr>
              <w:pStyle w:val="ParagraphNumbering"/>
              <w:numPr>
                <w:ilvl w:val="0"/>
                <w:numId w:val="0"/>
              </w:numPr>
              <w:spacing w:after="120" w:line="240" w:lineRule="auto"/>
              <w:jc w:val="center"/>
              <w:rPr>
                <w:rFonts w:asciiTheme="majorHAnsi" w:hAnsiTheme="majorHAnsi" w:cs="Arial"/>
                <w:b/>
                <w:szCs w:val="24"/>
              </w:rPr>
            </w:pPr>
            <w:r w:rsidRPr="00A15FED">
              <w:rPr>
                <w:rFonts w:asciiTheme="majorHAnsi" w:hAnsiTheme="majorHAnsi" w:cs="Arial"/>
                <w:b/>
                <w:szCs w:val="24"/>
              </w:rPr>
              <w:t>Below Registration Threshold</w:t>
            </w:r>
          </w:p>
        </w:tc>
        <w:tc>
          <w:tcPr>
            <w:tcW w:w="1234" w:type="dxa"/>
          </w:tcPr>
          <w:p w:rsidR="008D71F9" w:rsidRPr="00A15FED" w:rsidRDefault="008D71F9" w:rsidP="009B6A4E">
            <w:pPr>
              <w:pStyle w:val="ParagraphNumbering"/>
              <w:numPr>
                <w:ilvl w:val="0"/>
                <w:numId w:val="0"/>
              </w:numPr>
              <w:spacing w:after="120" w:line="240" w:lineRule="auto"/>
              <w:jc w:val="center"/>
              <w:rPr>
                <w:rFonts w:asciiTheme="majorHAnsi" w:hAnsiTheme="majorHAnsi" w:cs="Arial"/>
                <w:b/>
                <w:szCs w:val="24"/>
              </w:rPr>
            </w:pPr>
            <w:r w:rsidRPr="00A15FED">
              <w:rPr>
                <w:rFonts w:asciiTheme="majorHAnsi" w:hAnsiTheme="majorHAnsi" w:cs="Arial"/>
                <w:b/>
                <w:szCs w:val="24"/>
              </w:rPr>
              <w:t>Total</w:t>
            </w:r>
          </w:p>
        </w:tc>
      </w:tr>
      <w:tr w:rsidR="008D71F9" w:rsidRPr="00A15FED" w:rsidTr="009B6A4E">
        <w:trPr>
          <w:jc w:val="center"/>
        </w:trPr>
        <w:tc>
          <w:tcPr>
            <w:tcW w:w="1843" w:type="dxa"/>
          </w:tcPr>
          <w:p w:rsidR="008D71F9" w:rsidRPr="00A15FED" w:rsidRDefault="008D71F9" w:rsidP="009B6A4E">
            <w:pPr>
              <w:pStyle w:val="ParagraphNumbering"/>
              <w:numPr>
                <w:ilvl w:val="0"/>
                <w:numId w:val="0"/>
              </w:numPr>
              <w:spacing w:after="120" w:line="240" w:lineRule="auto"/>
              <w:rPr>
                <w:rFonts w:asciiTheme="majorHAnsi" w:hAnsiTheme="majorHAnsi" w:cs="Arial"/>
                <w:b/>
                <w:szCs w:val="24"/>
              </w:rPr>
            </w:pPr>
            <w:r w:rsidRPr="00A15FED">
              <w:rPr>
                <w:rFonts w:asciiTheme="majorHAnsi" w:hAnsiTheme="majorHAnsi" w:cs="Arial"/>
                <w:b/>
                <w:szCs w:val="24"/>
              </w:rPr>
              <w:t>Industrial</w:t>
            </w:r>
          </w:p>
        </w:tc>
        <w:tc>
          <w:tcPr>
            <w:tcW w:w="2225"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296</w:t>
            </w:r>
          </w:p>
        </w:tc>
        <w:tc>
          <w:tcPr>
            <w:tcW w:w="2070"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16</w:t>
            </w:r>
          </w:p>
        </w:tc>
        <w:tc>
          <w:tcPr>
            <w:tcW w:w="1234"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312</w:t>
            </w:r>
          </w:p>
        </w:tc>
      </w:tr>
      <w:tr w:rsidR="008D71F9" w:rsidRPr="00A15FED" w:rsidTr="009B6A4E">
        <w:trPr>
          <w:jc w:val="center"/>
        </w:trPr>
        <w:tc>
          <w:tcPr>
            <w:tcW w:w="1843" w:type="dxa"/>
          </w:tcPr>
          <w:p w:rsidR="008D71F9" w:rsidRPr="00A15FED" w:rsidRDefault="008D71F9" w:rsidP="009B6A4E">
            <w:pPr>
              <w:pStyle w:val="ParagraphNumbering"/>
              <w:numPr>
                <w:ilvl w:val="0"/>
                <w:numId w:val="0"/>
              </w:numPr>
              <w:spacing w:after="120" w:line="240" w:lineRule="auto"/>
              <w:rPr>
                <w:rFonts w:asciiTheme="majorHAnsi" w:hAnsiTheme="majorHAnsi" w:cs="Arial"/>
                <w:b/>
                <w:szCs w:val="24"/>
              </w:rPr>
            </w:pPr>
            <w:r w:rsidRPr="00A15FED">
              <w:rPr>
                <w:rFonts w:asciiTheme="majorHAnsi" w:hAnsiTheme="majorHAnsi" w:cs="Arial"/>
                <w:b/>
                <w:szCs w:val="24"/>
              </w:rPr>
              <w:t>Commercial</w:t>
            </w:r>
          </w:p>
        </w:tc>
        <w:tc>
          <w:tcPr>
            <w:tcW w:w="2225"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1819</w:t>
            </w:r>
          </w:p>
        </w:tc>
        <w:tc>
          <w:tcPr>
            <w:tcW w:w="2070"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269</w:t>
            </w:r>
          </w:p>
        </w:tc>
        <w:tc>
          <w:tcPr>
            <w:tcW w:w="1234"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2088</w:t>
            </w:r>
          </w:p>
        </w:tc>
      </w:tr>
      <w:tr w:rsidR="008D71F9" w:rsidRPr="00A15FED" w:rsidTr="009B6A4E">
        <w:trPr>
          <w:jc w:val="center"/>
        </w:trPr>
        <w:tc>
          <w:tcPr>
            <w:tcW w:w="1843" w:type="dxa"/>
          </w:tcPr>
          <w:p w:rsidR="008D71F9" w:rsidRPr="00A15FED" w:rsidRDefault="008D71F9" w:rsidP="009B6A4E">
            <w:pPr>
              <w:pStyle w:val="ParagraphNumbering"/>
              <w:numPr>
                <w:ilvl w:val="0"/>
                <w:numId w:val="0"/>
              </w:numPr>
              <w:spacing w:after="120" w:line="240" w:lineRule="auto"/>
              <w:rPr>
                <w:rFonts w:asciiTheme="majorHAnsi" w:hAnsiTheme="majorHAnsi" w:cs="Arial"/>
                <w:b/>
                <w:szCs w:val="24"/>
              </w:rPr>
            </w:pPr>
            <w:r w:rsidRPr="00A15FED">
              <w:rPr>
                <w:rFonts w:asciiTheme="majorHAnsi" w:hAnsiTheme="majorHAnsi" w:cs="Arial"/>
                <w:b/>
                <w:szCs w:val="24"/>
              </w:rPr>
              <w:t>Services</w:t>
            </w:r>
          </w:p>
        </w:tc>
        <w:tc>
          <w:tcPr>
            <w:tcW w:w="2225"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494</w:t>
            </w:r>
          </w:p>
        </w:tc>
        <w:tc>
          <w:tcPr>
            <w:tcW w:w="2070"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601</w:t>
            </w:r>
          </w:p>
        </w:tc>
        <w:tc>
          <w:tcPr>
            <w:tcW w:w="1234"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1095</w:t>
            </w:r>
          </w:p>
        </w:tc>
      </w:tr>
      <w:tr w:rsidR="008D71F9" w:rsidRPr="00A15FED" w:rsidTr="009B6A4E">
        <w:trPr>
          <w:jc w:val="center"/>
        </w:trPr>
        <w:tc>
          <w:tcPr>
            <w:tcW w:w="1843" w:type="dxa"/>
          </w:tcPr>
          <w:p w:rsidR="008D71F9" w:rsidRPr="00A15FED" w:rsidRDefault="008D71F9" w:rsidP="009B6A4E">
            <w:pPr>
              <w:pStyle w:val="ParagraphNumbering"/>
              <w:numPr>
                <w:ilvl w:val="0"/>
                <w:numId w:val="0"/>
              </w:numPr>
              <w:spacing w:after="120" w:line="240" w:lineRule="auto"/>
              <w:rPr>
                <w:rFonts w:asciiTheme="majorHAnsi" w:hAnsiTheme="majorHAnsi" w:cs="Arial"/>
                <w:b/>
                <w:szCs w:val="24"/>
              </w:rPr>
            </w:pPr>
            <w:r w:rsidRPr="00A15FED">
              <w:rPr>
                <w:rFonts w:asciiTheme="majorHAnsi" w:hAnsiTheme="majorHAnsi" w:cs="Arial"/>
                <w:b/>
                <w:szCs w:val="24"/>
              </w:rPr>
              <w:t>Total</w:t>
            </w:r>
          </w:p>
        </w:tc>
        <w:tc>
          <w:tcPr>
            <w:tcW w:w="2225"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2609</w:t>
            </w:r>
          </w:p>
        </w:tc>
        <w:tc>
          <w:tcPr>
            <w:tcW w:w="2070"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886</w:t>
            </w:r>
          </w:p>
        </w:tc>
        <w:tc>
          <w:tcPr>
            <w:tcW w:w="1234" w:type="dxa"/>
          </w:tcPr>
          <w:p w:rsidR="008D71F9" w:rsidRPr="00A15FED" w:rsidRDefault="008D71F9" w:rsidP="009B6A4E">
            <w:pPr>
              <w:pStyle w:val="ParagraphNumbering"/>
              <w:numPr>
                <w:ilvl w:val="0"/>
                <w:numId w:val="0"/>
              </w:numPr>
              <w:spacing w:after="120" w:line="240" w:lineRule="auto"/>
              <w:jc w:val="right"/>
              <w:rPr>
                <w:rFonts w:asciiTheme="majorHAnsi" w:hAnsiTheme="majorHAnsi" w:cs="Arial"/>
                <w:szCs w:val="24"/>
              </w:rPr>
            </w:pPr>
            <w:r w:rsidRPr="00A15FED">
              <w:rPr>
                <w:rFonts w:asciiTheme="majorHAnsi" w:hAnsiTheme="majorHAnsi" w:cs="Arial"/>
                <w:szCs w:val="24"/>
              </w:rPr>
              <w:t>3495</w:t>
            </w:r>
          </w:p>
        </w:tc>
      </w:tr>
    </w:tbl>
    <w:p w:rsidR="008D71F9" w:rsidRPr="00A15FED" w:rsidRDefault="008D71F9" w:rsidP="008D71F9">
      <w:pPr>
        <w:spacing w:line="480" w:lineRule="auto"/>
        <w:rPr>
          <w:rFonts w:asciiTheme="majorHAnsi" w:hAnsiTheme="majorHAnsi"/>
          <w:sz w:val="24"/>
          <w:szCs w:val="24"/>
        </w:rPr>
      </w:pPr>
    </w:p>
    <w:p w:rsidR="009706B2" w:rsidRDefault="008D71F9" w:rsidP="009706B2">
      <w:pPr>
        <w:pStyle w:val="ParagraphNumbering"/>
        <w:numPr>
          <w:ilvl w:val="0"/>
          <w:numId w:val="0"/>
        </w:numPr>
        <w:spacing w:line="480" w:lineRule="auto"/>
        <w:ind w:firstLine="709"/>
        <w:rPr>
          <w:rFonts w:asciiTheme="majorHAnsi" w:hAnsiTheme="majorHAnsi"/>
          <w:szCs w:val="24"/>
        </w:rPr>
      </w:pPr>
      <w:r w:rsidRPr="00A15FED">
        <w:rPr>
          <w:rFonts w:asciiTheme="majorHAnsi" w:hAnsiTheme="majorHAnsi"/>
          <w:szCs w:val="24"/>
        </w:rPr>
        <w:t>Legitimately unregistered taxpayers (those below the 50 million</w:t>
      </w:r>
      <w:r w:rsidR="009706B2">
        <w:rPr>
          <w:rFonts w:asciiTheme="majorHAnsi" w:hAnsiTheme="majorHAnsi"/>
          <w:szCs w:val="24"/>
        </w:rPr>
        <w:t xml:space="preserve"> YRls threshold) are taxed at 5% </w:t>
      </w:r>
      <w:r w:rsidRPr="00A15FED">
        <w:rPr>
          <w:rFonts w:asciiTheme="majorHAnsi" w:hAnsiTheme="majorHAnsi"/>
          <w:szCs w:val="24"/>
        </w:rPr>
        <w:t xml:space="preserve">GST on imports at the border.  Currently, the </w:t>
      </w:r>
      <w:r w:rsidR="009706B2">
        <w:rPr>
          <w:rFonts w:asciiTheme="majorHAnsi" w:hAnsiTheme="majorHAnsi"/>
          <w:szCs w:val="24"/>
        </w:rPr>
        <w:t>Yemeni Tax Authority (</w:t>
      </w:r>
      <w:r w:rsidRPr="00A15FED">
        <w:rPr>
          <w:rFonts w:asciiTheme="majorHAnsi" w:hAnsiTheme="majorHAnsi"/>
          <w:szCs w:val="24"/>
        </w:rPr>
        <w:t>YTA</w:t>
      </w:r>
      <w:r w:rsidR="009706B2">
        <w:rPr>
          <w:rFonts w:asciiTheme="majorHAnsi" w:hAnsiTheme="majorHAnsi"/>
          <w:szCs w:val="24"/>
        </w:rPr>
        <w:t>)</w:t>
      </w:r>
      <w:r w:rsidRPr="00A15FED">
        <w:rPr>
          <w:rFonts w:asciiTheme="majorHAnsi" w:hAnsiTheme="majorHAnsi"/>
          <w:szCs w:val="24"/>
        </w:rPr>
        <w:t xml:space="preserve"> </w:t>
      </w:r>
      <w:r w:rsidRPr="00A15FED">
        <w:rPr>
          <w:rFonts w:asciiTheme="majorHAnsi" w:hAnsiTheme="majorHAnsi"/>
          <w:szCs w:val="24"/>
        </w:rPr>
        <w:lastRenderedPageBreak/>
        <w:t xml:space="preserve">(through </w:t>
      </w:r>
      <w:r w:rsidR="009706B2">
        <w:rPr>
          <w:rFonts w:asciiTheme="majorHAnsi" w:hAnsiTheme="majorHAnsi"/>
          <w:szCs w:val="24"/>
        </w:rPr>
        <w:t xml:space="preserve">the Yemeni </w:t>
      </w:r>
      <w:r w:rsidRPr="00A15FED">
        <w:rPr>
          <w:rFonts w:asciiTheme="majorHAnsi" w:hAnsiTheme="majorHAnsi"/>
          <w:szCs w:val="24"/>
        </w:rPr>
        <w:t>Customs</w:t>
      </w:r>
      <w:r w:rsidR="009706B2">
        <w:rPr>
          <w:rFonts w:asciiTheme="majorHAnsi" w:hAnsiTheme="majorHAnsi"/>
          <w:szCs w:val="24"/>
        </w:rPr>
        <w:t xml:space="preserve"> Authority</w:t>
      </w:r>
      <w:r w:rsidRPr="00A15FED">
        <w:rPr>
          <w:rFonts w:asciiTheme="majorHAnsi" w:hAnsiTheme="majorHAnsi"/>
          <w:szCs w:val="24"/>
        </w:rPr>
        <w:t xml:space="preserve">) is also charging an additional 5% GST on registered taxpayers who are not filing returns in lieu of value-add (given the very low filing rates, this applies to all non-filing large importers and virtually all medium registered importers).  This arrangement is effectively a 10% final tax on imports, rather than a properly levied GST/VAT.  </w:t>
      </w:r>
    </w:p>
    <w:p w:rsidR="008D71F9" w:rsidRPr="00A15FED" w:rsidRDefault="008D71F9" w:rsidP="009706B2">
      <w:pPr>
        <w:pStyle w:val="ParagraphNumbering"/>
        <w:numPr>
          <w:ilvl w:val="0"/>
          <w:numId w:val="0"/>
        </w:numPr>
        <w:spacing w:line="480" w:lineRule="auto"/>
        <w:ind w:firstLine="709"/>
        <w:rPr>
          <w:rFonts w:asciiTheme="majorHAnsi" w:hAnsiTheme="majorHAnsi"/>
          <w:szCs w:val="24"/>
        </w:rPr>
      </w:pPr>
      <w:r w:rsidRPr="00A15FED">
        <w:rPr>
          <w:rFonts w:asciiTheme="majorHAnsi" w:hAnsiTheme="majorHAnsi"/>
          <w:szCs w:val="24"/>
        </w:rPr>
        <w:t xml:space="preserve">The revenue collected is likely to be much less than would be collected from applying GST to the full value added, particularly as it does nothing in respect of non-importers such as service providers. This arrangement of payment exclusively on imports effectively continues an approach applied from 2007, as an interim arrangement, before full GST implementation commenced in 2010.  When full implementation was attempted, many business taxpayers expressed a desire to continue with this arrangement rather than comply with the full GST. Continuing this as a convenient and cheaper alternative (administratively and in revenue terms) </w:t>
      </w:r>
      <w:r w:rsidR="009706B2">
        <w:rPr>
          <w:rFonts w:asciiTheme="majorHAnsi" w:hAnsiTheme="majorHAnsi"/>
          <w:szCs w:val="24"/>
        </w:rPr>
        <w:t xml:space="preserve">by the YTA </w:t>
      </w:r>
      <w:r w:rsidRPr="00A15FED">
        <w:rPr>
          <w:rFonts w:asciiTheme="majorHAnsi" w:hAnsiTheme="majorHAnsi"/>
          <w:szCs w:val="24"/>
        </w:rPr>
        <w:t xml:space="preserve">will work </w:t>
      </w:r>
      <w:r w:rsidRPr="00A15FED">
        <w:rPr>
          <w:rFonts w:asciiTheme="majorHAnsi" w:hAnsiTheme="majorHAnsi"/>
          <w:i/>
          <w:szCs w:val="24"/>
        </w:rPr>
        <w:t>against</w:t>
      </w:r>
      <w:r w:rsidRPr="00A15FED">
        <w:rPr>
          <w:rFonts w:asciiTheme="majorHAnsi" w:hAnsiTheme="majorHAnsi"/>
          <w:szCs w:val="24"/>
        </w:rPr>
        <w:t xml:space="preserve"> getting full participation in the GST. </w:t>
      </w:r>
    </w:p>
    <w:p w:rsidR="008D71F9" w:rsidRPr="00A15FED" w:rsidRDefault="008D71F9" w:rsidP="008D71F9">
      <w:pPr>
        <w:pStyle w:val="ParagraphNumbering"/>
        <w:numPr>
          <w:ilvl w:val="0"/>
          <w:numId w:val="0"/>
        </w:numPr>
        <w:spacing w:line="480" w:lineRule="auto"/>
        <w:ind w:left="360" w:firstLine="633"/>
        <w:rPr>
          <w:rFonts w:asciiTheme="majorHAnsi" w:hAnsiTheme="majorHAnsi"/>
          <w:szCs w:val="24"/>
        </w:rPr>
      </w:pPr>
      <w:r w:rsidRPr="00A15FED">
        <w:rPr>
          <w:rFonts w:asciiTheme="majorHAnsi" w:hAnsiTheme="majorHAnsi"/>
          <w:szCs w:val="24"/>
        </w:rPr>
        <w:t>This 10% interim final tax on imports before full implementation is also responsible, in significant part, for a major GST excess credit position.  Other contributing factors to this net excess credit position are:</w:t>
      </w:r>
    </w:p>
    <w:p w:rsidR="008D71F9" w:rsidRPr="00A15FED" w:rsidRDefault="008D71F9" w:rsidP="008D71F9">
      <w:pPr>
        <w:pStyle w:val="ParagraphNumbering"/>
        <w:numPr>
          <w:ilvl w:val="0"/>
          <w:numId w:val="22"/>
        </w:numPr>
        <w:spacing w:line="480" w:lineRule="auto"/>
        <w:rPr>
          <w:rFonts w:asciiTheme="majorHAnsi" w:hAnsiTheme="majorHAnsi"/>
          <w:szCs w:val="24"/>
        </w:rPr>
      </w:pPr>
      <w:r w:rsidRPr="00A15FED">
        <w:rPr>
          <w:rFonts w:asciiTheme="majorHAnsi" w:hAnsiTheme="majorHAnsi"/>
          <w:szCs w:val="24"/>
        </w:rPr>
        <w:t>Evasion - understatement of taxable sales and overstatement of input credits.</w:t>
      </w:r>
    </w:p>
    <w:p w:rsidR="003A49DA" w:rsidRPr="00A53A68" w:rsidRDefault="008D71F9" w:rsidP="009B50B6">
      <w:pPr>
        <w:pStyle w:val="ParagraphNumbering"/>
        <w:numPr>
          <w:ilvl w:val="0"/>
          <w:numId w:val="22"/>
        </w:numPr>
        <w:spacing w:line="480" w:lineRule="auto"/>
        <w:rPr>
          <w:rFonts w:asciiTheme="majorHAnsi" w:hAnsiTheme="majorHAnsi" w:cstheme="majorBidi"/>
          <w:szCs w:val="24"/>
        </w:rPr>
      </w:pPr>
      <w:r w:rsidRPr="00A53A68">
        <w:rPr>
          <w:rFonts w:asciiTheme="majorHAnsi" w:hAnsiTheme="majorHAnsi"/>
          <w:szCs w:val="24"/>
        </w:rPr>
        <w:t>GST withheld on government contracts being accounted for as credits rather than advance payments of “output” tax on sales.</w:t>
      </w:r>
    </w:p>
    <w:p w:rsidR="003A49DA" w:rsidRDefault="003A49DA" w:rsidP="009B50B6">
      <w:pPr>
        <w:rPr>
          <w:rFonts w:asciiTheme="majorHAnsi" w:hAnsiTheme="majorHAnsi" w:cstheme="majorBidi"/>
          <w:sz w:val="24"/>
          <w:szCs w:val="24"/>
        </w:rPr>
      </w:pPr>
    </w:p>
    <w:p w:rsidR="003A49DA" w:rsidRDefault="003A49DA" w:rsidP="009B50B6">
      <w:pPr>
        <w:rPr>
          <w:rFonts w:asciiTheme="majorHAnsi" w:hAnsiTheme="majorHAnsi" w:cstheme="majorBidi"/>
          <w:sz w:val="24"/>
          <w:szCs w:val="24"/>
        </w:rPr>
      </w:pPr>
    </w:p>
    <w:p w:rsidR="003A49DA" w:rsidRDefault="00836492" w:rsidP="009B50B6">
      <w:pPr>
        <w:rPr>
          <w:rFonts w:asciiTheme="majorHAnsi" w:hAnsiTheme="majorHAnsi" w:cstheme="majorBidi"/>
          <w:sz w:val="24"/>
          <w:szCs w:val="24"/>
        </w:rPr>
      </w:pPr>
      <w:r w:rsidRPr="00836492">
        <w:rPr>
          <w:rFonts w:asciiTheme="majorHAnsi" w:hAnsiTheme="majorHAnsi" w:cs="Times New Roman"/>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7" type="#_x0000_t185" style="position:absolute;margin-left:3.5pt;margin-top:-24.15pt;width:510.75pt;height:612.5pt;z-index:251662336;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" o:allowincell="f" adj="1739" fillcolor="#943634 [2405]" strokecolor="#9bbb59 [3206]" strokeweight="3pt">
            <v:shadow color="#5e7530 [1926]" opacity="49150f" offset="1pt,1pt"/>
            <v:textbox inset="3.6pt,,3.6pt">
              <w:txbxContent>
                <w:p w:rsidR="00146CB4" w:rsidRDefault="00146CB4" w:rsidP="00C12FC6">
                  <w:pPr>
                    <w:pStyle w:val="Heading3"/>
                  </w:pPr>
                  <w:r w:rsidRPr="00FE11E1">
                    <w:rPr>
                      <w:color w:val="000000" w:themeColor="text1"/>
                      <w:sz w:val="24"/>
                      <w:szCs w:val="24"/>
                    </w:rPr>
                    <w:t>World Bank (2010), Yemen's Central Financing Agency Report, p(</w:t>
                  </w:r>
                  <w:r>
                    <w:rPr>
                      <w:color w:val="000000" w:themeColor="text1"/>
                      <w:sz w:val="24"/>
                      <w:szCs w:val="24"/>
                    </w:rPr>
                    <w:t>16 &amp; 9</w:t>
                  </w:r>
                  <w:r w:rsidRPr="00FE11E1">
                    <w:rPr>
                      <w:color w:val="000000" w:themeColor="text1"/>
                      <w:sz w:val="24"/>
                      <w:szCs w:val="24"/>
                    </w:rPr>
                    <w:t>), stated</w:t>
                  </w:r>
                  <w:r>
                    <w:rPr>
                      <w:color w:val="000000" w:themeColor="text1"/>
                      <w:sz w:val="24"/>
                      <w:szCs w:val="24"/>
                    </w:rPr>
                    <w:t xml:space="preserve"> that</w:t>
                  </w:r>
                </w:p>
                <w:p w:rsidR="00146CB4" w:rsidRPr="0072532F" w:rsidRDefault="00146CB4" w:rsidP="003A49DA">
                  <w:pPr>
                    <w:pStyle w:val="Heading3"/>
                    <w:rPr>
                      <w:rFonts w:cs="Times New Roman"/>
                      <w:b w:val="0"/>
                      <w:bCs w:val="0"/>
                    </w:rPr>
                  </w:pPr>
                  <w:r w:rsidRPr="0072532F">
                    <w:rPr>
                      <w:rFonts w:cs="Times New Roman"/>
                      <w:b w:val="0"/>
                      <w:bCs w:val="0"/>
                    </w:rPr>
                    <w:t>As in many countries, revenue and customs administration functions in Yemen are carried out by quasi-independent agencies – the Tax Authority and Customs Authority - under the supervision of the Minister of Finance.  In the case of both Authorities, while they may be invited to comment upon proposals to change the tax and customs laws, and to submit revenue forecasts to the MoF, their main function is that of revenue collection.  Both authorities are subject to the imposition of revenue targets set by the MoF in an effort by the latter to increase the level of revenue collected.  The Customs Authority, for example, is charged with improving its customs valuations subject to duty, and cracking down on smuggling and corruption</w:t>
                  </w:r>
                </w:p>
                <w:p w:rsidR="00146CB4" w:rsidRPr="0072532F" w:rsidRDefault="00146CB4" w:rsidP="003A49DA">
                  <w:pPr>
                    <w:pStyle w:val="ListParagraph"/>
                    <w:numPr>
                      <w:ilvl w:val="1"/>
                      <w:numId w:val="9"/>
                    </w:numPr>
                    <w:spacing w:after="120" w:line="300" w:lineRule="exact"/>
                    <w:ind w:left="0" w:firstLine="0"/>
                    <w:contextualSpacing w:val="0"/>
                    <w:rPr>
                      <w:rFonts w:asciiTheme="majorHAnsi" w:hAnsiTheme="majorHAnsi" w:cs="Times New Roman"/>
                    </w:rPr>
                  </w:pPr>
                  <w:r w:rsidRPr="0072532F">
                    <w:rPr>
                      <w:rFonts w:asciiTheme="majorHAnsi" w:hAnsiTheme="majorHAnsi" w:cs="Times New Roman"/>
                    </w:rPr>
                    <w:t xml:space="preserve">Both the tax and customs authorities have scope for considerable efficiency improvements through simplified business processes, and more extensive use of automated practices.  Tax and customs exemptions are a good case in point – these are currently paper-based, manual processes which require multiple approvals by the MoF.  Encouragingly, some significant simplifications in the exemptions relating to capital investment are promised in the new investment law, which was approved during the mission’s visit to Sana’a.  The rollout of AFMIS to both authorities would be helpful in improving the efficiency of their operations and the flow of financial reports. There is also scope for greater decision-making authority to be delegated to both agencies, for example, on staffing matters such as hiring, performance bonuses, and promotions.  </w:t>
                  </w:r>
                </w:p>
                <w:p w:rsidR="00146CB4" w:rsidRPr="0072532F" w:rsidRDefault="00146CB4" w:rsidP="003A49DA">
                  <w:pPr>
                    <w:rPr>
                      <w:rFonts w:asciiTheme="majorHAnsi" w:hAnsiTheme="majorHAnsi"/>
                      <w:lang w:bidi="en-US"/>
                    </w:rPr>
                  </w:pPr>
                  <w:r w:rsidRPr="0072532F">
                    <w:rPr>
                      <w:rFonts w:asciiTheme="majorHAnsi" w:hAnsiTheme="majorHAnsi" w:cs="Times New Roman"/>
                    </w:rPr>
                    <w:t>By contrast to the mandate of the tax and customs authorities, much of the role of the Revenue Sector within the MoF is far from clear.  The mission understands that its principal responsibility is to monitor revenue collection from agencies other than the tax and customs authorities.  This includes reviewing the collection of oil and gas revenues through the MoO (in particular to ensure commitments due to the GoY in production sharing agreements are honored); and revenues from economic enterprises.  The sector also authorizes the charging and collection of other minor taxes and fees, and handles some (minor) tax exemptions that are not administered by the tax authorities.  In discussions with the mission, MoF officials acknowledged overlap in roles with other sectors in the MoF, such as the Economic Enterprises Sector, as well as the customs and tax Authorities.</w:t>
                  </w:r>
                </w:p>
                <w:p w:rsidR="00146CB4" w:rsidRPr="0072532F" w:rsidRDefault="00146CB4" w:rsidP="003A49DA">
                  <w:pPr>
                    <w:pStyle w:val="Heading3"/>
                  </w:pPr>
                  <w:r w:rsidRPr="0072532F">
                    <w:t xml:space="preserve">Tax policy </w:t>
                  </w:r>
                </w:p>
                <w:p w:rsidR="00146CB4" w:rsidRDefault="00146CB4" w:rsidP="003A49DA">
                  <w:pPr>
                    <w:pBdr>
                      <w:top w:val="single" w:sz="8" w:space="10" w:color="FFFFFF" w:themeColor="background1"/>
                      <w:bottom w:val="single" w:sz="8" w:space="10" w:color="FFFFFF" w:themeColor="background1"/>
                    </w:pBdr>
                    <w:spacing w:after="0"/>
                    <w:rPr>
                      <w:i/>
                      <w:iCs/>
                      <w:color w:val="808080" w:themeColor="text1" w:themeTint="7F"/>
                      <w:sz w:val="24"/>
                      <w:szCs w:val="24"/>
                    </w:rPr>
                  </w:pPr>
                  <w:r w:rsidRPr="0072532F">
                    <w:rPr>
                      <w:rFonts w:asciiTheme="majorHAnsi" w:hAnsiTheme="majorHAnsi" w:cs="Times New Roman"/>
                    </w:rPr>
                    <w:t>There is no single, dedicated unit within the MoF (or MoPIC) that is responsible for undertaking analytical work on tax policy issues.  Indeed, in practice, little technical work appears to be done in this field on a systematic basis.  Should issues arise on tax policy, the Minister of Finance, or the High Committee on the Budget, will usually request an appropriate body to undertake the required technical analysis and make recommendations.  For example, recent work on revising the income law was carried out by the Tax Authority.  In some cases, the World Bank or IMF, or a consulting company, would be asked to undertake an assessment.  A similar situation arises in relation to the analysis of fiscal policy issues, such as long-term fiscal and debt sustainability analysis, where there is also no dedicated unit within the MoF that produces reports and policy advice on a regular basis in this critically important area.</w:t>
                  </w:r>
                </w:p>
              </w:txbxContent>
            </v:textbox>
            <w10:wrap type="square" anchorx="margin" anchory="margin"/>
          </v:shape>
        </w:pict>
      </w:r>
    </w:p>
    <w:p w:rsidR="00A51E85" w:rsidRDefault="00097638" w:rsidP="00251AB2">
      <w:pPr>
        <w:spacing w:line="480" w:lineRule="auto"/>
        <w:rPr>
          <w:rFonts w:asciiTheme="majorHAnsi" w:hAnsiTheme="majorHAnsi" w:cstheme="majorBidi"/>
          <w:sz w:val="24"/>
          <w:szCs w:val="24"/>
        </w:rPr>
      </w:pPr>
      <w:r w:rsidRPr="00097638">
        <w:rPr>
          <w:rFonts w:asciiTheme="majorHAnsi" w:hAnsiTheme="majorHAnsi" w:cstheme="majorBidi"/>
          <w:b/>
          <w:bCs/>
          <w:sz w:val="24"/>
          <w:szCs w:val="24"/>
        </w:rPr>
        <w:lastRenderedPageBreak/>
        <w:t>II) Oil and Gas Revenues:</w:t>
      </w:r>
      <w:r w:rsidR="0073170E">
        <w:rPr>
          <w:rFonts w:asciiTheme="majorHAnsi" w:hAnsiTheme="majorHAnsi" w:cstheme="majorBidi"/>
          <w:b/>
          <w:bCs/>
          <w:sz w:val="24"/>
          <w:szCs w:val="24"/>
        </w:rPr>
        <w:t xml:space="preserve"> </w:t>
      </w:r>
      <w:r w:rsidR="00D35B4F">
        <w:rPr>
          <w:rFonts w:asciiTheme="majorHAnsi" w:hAnsiTheme="majorHAnsi" w:cstheme="majorBidi"/>
          <w:sz w:val="24"/>
          <w:szCs w:val="24"/>
        </w:rPr>
        <w:t xml:space="preserve">represent 61% of total Revenues and Grants </w:t>
      </w:r>
      <w:r w:rsidR="00D9265D">
        <w:rPr>
          <w:rFonts w:asciiTheme="majorHAnsi" w:hAnsiTheme="majorHAnsi" w:cstheme="majorBidi"/>
          <w:sz w:val="24"/>
          <w:szCs w:val="24"/>
        </w:rPr>
        <w:t>and have a historical growth rate of 3%. T</w:t>
      </w:r>
      <w:r w:rsidR="00822D35">
        <w:rPr>
          <w:rFonts w:asciiTheme="majorHAnsi" w:hAnsiTheme="majorHAnsi" w:cstheme="majorBidi"/>
          <w:sz w:val="24"/>
          <w:szCs w:val="24"/>
        </w:rPr>
        <w:t xml:space="preserve">he </w:t>
      </w:r>
      <w:r w:rsidR="00D35B4F">
        <w:rPr>
          <w:rFonts w:asciiTheme="majorHAnsi" w:hAnsiTheme="majorHAnsi" w:cstheme="majorBidi"/>
          <w:sz w:val="24"/>
          <w:szCs w:val="24"/>
        </w:rPr>
        <w:t xml:space="preserve">sales of exported crude oil and domestic fuel products sales account for </w:t>
      </w:r>
      <w:r w:rsidR="00D9265D">
        <w:rPr>
          <w:rFonts w:asciiTheme="majorHAnsi" w:hAnsiTheme="majorHAnsi" w:cstheme="majorBidi"/>
          <w:sz w:val="24"/>
          <w:szCs w:val="24"/>
        </w:rPr>
        <w:t xml:space="preserve">96% of total Oil and Gas revenues or </w:t>
      </w:r>
      <w:r w:rsidR="00D35B4F">
        <w:rPr>
          <w:rFonts w:asciiTheme="majorHAnsi" w:hAnsiTheme="majorHAnsi" w:cstheme="majorBidi"/>
          <w:sz w:val="24"/>
          <w:szCs w:val="24"/>
        </w:rPr>
        <w:t xml:space="preserve">60% of Total Revenues and Grants. </w:t>
      </w:r>
      <w:r w:rsidR="000F3D6C">
        <w:rPr>
          <w:rFonts w:asciiTheme="majorHAnsi" w:hAnsiTheme="majorHAnsi" w:cstheme="majorBidi"/>
          <w:sz w:val="24"/>
          <w:szCs w:val="24"/>
        </w:rPr>
        <w:t xml:space="preserve">  As we can see from Table</w:t>
      </w:r>
      <w:r w:rsidR="005C65C6">
        <w:rPr>
          <w:rFonts w:asciiTheme="majorHAnsi" w:hAnsiTheme="majorHAnsi" w:cstheme="majorBidi"/>
          <w:sz w:val="24"/>
          <w:szCs w:val="24"/>
        </w:rPr>
        <w:t xml:space="preserve"> </w:t>
      </w:r>
      <w:r w:rsidR="00D9265D">
        <w:rPr>
          <w:rFonts w:asciiTheme="majorHAnsi" w:hAnsiTheme="majorHAnsi" w:cstheme="majorBidi"/>
          <w:sz w:val="24"/>
          <w:szCs w:val="24"/>
        </w:rPr>
        <w:t>10</w:t>
      </w:r>
      <w:r w:rsidR="000F3D6C">
        <w:rPr>
          <w:rFonts w:asciiTheme="majorHAnsi" w:hAnsiTheme="majorHAnsi" w:cstheme="majorBidi"/>
          <w:sz w:val="24"/>
          <w:szCs w:val="24"/>
        </w:rPr>
        <w:t>, the domestic sa</w:t>
      </w:r>
      <w:r w:rsidR="00200ED2">
        <w:rPr>
          <w:rFonts w:asciiTheme="majorHAnsi" w:hAnsiTheme="majorHAnsi" w:cstheme="majorBidi"/>
          <w:sz w:val="24"/>
          <w:szCs w:val="24"/>
        </w:rPr>
        <w:t>les and exports of  Gas account</w:t>
      </w:r>
      <w:r w:rsidR="000F3D6C">
        <w:rPr>
          <w:rFonts w:asciiTheme="majorHAnsi" w:hAnsiTheme="majorHAnsi" w:cstheme="majorBidi"/>
          <w:sz w:val="24"/>
          <w:szCs w:val="24"/>
        </w:rPr>
        <w:t xml:space="preserve"> </w:t>
      </w:r>
      <w:r w:rsidR="00251AB2">
        <w:rPr>
          <w:rFonts w:asciiTheme="majorHAnsi" w:hAnsiTheme="majorHAnsi" w:cstheme="majorBidi"/>
          <w:sz w:val="24"/>
          <w:szCs w:val="24"/>
        </w:rPr>
        <w:t xml:space="preserve">on a historical average </w:t>
      </w:r>
      <w:r w:rsidR="000F3D6C">
        <w:rPr>
          <w:rFonts w:asciiTheme="majorHAnsi" w:hAnsiTheme="majorHAnsi" w:cstheme="majorBidi"/>
          <w:sz w:val="24"/>
          <w:szCs w:val="24"/>
        </w:rPr>
        <w:t xml:space="preserve">for </w:t>
      </w:r>
      <w:r w:rsidR="00251AB2">
        <w:rPr>
          <w:rFonts w:asciiTheme="majorHAnsi" w:hAnsiTheme="majorHAnsi" w:cstheme="majorBidi"/>
          <w:sz w:val="24"/>
          <w:szCs w:val="24"/>
        </w:rPr>
        <w:t>4</w:t>
      </w:r>
      <w:r w:rsidR="0039719C">
        <w:rPr>
          <w:rFonts w:asciiTheme="majorHAnsi" w:hAnsiTheme="majorHAnsi" w:cstheme="majorBidi"/>
          <w:sz w:val="24"/>
          <w:szCs w:val="24"/>
        </w:rPr>
        <w:t xml:space="preserve">% of total </w:t>
      </w:r>
      <w:r w:rsidR="00251AB2">
        <w:rPr>
          <w:rFonts w:asciiTheme="majorHAnsi" w:hAnsiTheme="majorHAnsi" w:cstheme="majorBidi"/>
          <w:sz w:val="24"/>
          <w:szCs w:val="24"/>
        </w:rPr>
        <w:t xml:space="preserve">Oil and Gas revenues </w:t>
      </w:r>
      <w:r w:rsidR="0039719C">
        <w:rPr>
          <w:rFonts w:asciiTheme="majorHAnsi" w:hAnsiTheme="majorHAnsi" w:cstheme="majorBidi"/>
          <w:sz w:val="24"/>
          <w:szCs w:val="24"/>
        </w:rPr>
        <w:t xml:space="preserve">owing to the fact </w:t>
      </w:r>
      <w:r w:rsidR="00482989">
        <w:rPr>
          <w:rFonts w:asciiTheme="majorHAnsi" w:hAnsiTheme="majorHAnsi" w:cstheme="majorBidi"/>
          <w:sz w:val="24"/>
          <w:szCs w:val="24"/>
        </w:rPr>
        <w:t xml:space="preserve">that </w:t>
      </w:r>
      <w:r w:rsidR="0039719C">
        <w:rPr>
          <w:rFonts w:asciiTheme="majorHAnsi" w:hAnsiTheme="majorHAnsi" w:cstheme="majorBidi"/>
          <w:sz w:val="24"/>
          <w:szCs w:val="24"/>
        </w:rPr>
        <w:t>the export</w:t>
      </w:r>
      <w:r w:rsidR="00482989">
        <w:rPr>
          <w:rFonts w:asciiTheme="majorHAnsi" w:hAnsiTheme="majorHAnsi" w:cstheme="majorBidi"/>
          <w:sz w:val="24"/>
          <w:szCs w:val="24"/>
        </w:rPr>
        <w:t>s</w:t>
      </w:r>
      <w:r w:rsidR="00D97A8E">
        <w:rPr>
          <w:rFonts w:asciiTheme="majorHAnsi" w:hAnsiTheme="majorHAnsi" w:cstheme="majorBidi"/>
          <w:sz w:val="24"/>
          <w:szCs w:val="24"/>
        </w:rPr>
        <w:t xml:space="preserve"> of </w:t>
      </w:r>
      <w:r w:rsidR="00E62424">
        <w:rPr>
          <w:rFonts w:asciiTheme="majorHAnsi" w:hAnsiTheme="majorHAnsi" w:cstheme="majorBidi"/>
          <w:sz w:val="24"/>
          <w:szCs w:val="24"/>
        </w:rPr>
        <w:t>L</w:t>
      </w:r>
      <w:r w:rsidR="00D97A8E">
        <w:rPr>
          <w:rFonts w:asciiTheme="majorHAnsi" w:hAnsiTheme="majorHAnsi" w:cstheme="majorBidi"/>
          <w:sz w:val="24"/>
          <w:szCs w:val="24"/>
        </w:rPr>
        <w:t xml:space="preserve">iquid </w:t>
      </w:r>
      <w:r w:rsidR="00E62424">
        <w:rPr>
          <w:rFonts w:asciiTheme="majorHAnsi" w:hAnsiTheme="majorHAnsi" w:cstheme="majorBidi"/>
          <w:sz w:val="24"/>
          <w:szCs w:val="24"/>
        </w:rPr>
        <w:t>Natural G</w:t>
      </w:r>
      <w:r w:rsidR="00D97A8E">
        <w:rPr>
          <w:rFonts w:asciiTheme="majorHAnsi" w:hAnsiTheme="majorHAnsi" w:cstheme="majorBidi"/>
          <w:sz w:val="24"/>
          <w:szCs w:val="24"/>
        </w:rPr>
        <w:t xml:space="preserve">as </w:t>
      </w:r>
      <w:r w:rsidR="00E62424">
        <w:rPr>
          <w:rFonts w:asciiTheme="majorHAnsi" w:hAnsiTheme="majorHAnsi" w:cstheme="majorBidi"/>
          <w:sz w:val="24"/>
          <w:szCs w:val="24"/>
        </w:rPr>
        <w:t xml:space="preserve">(LNG) </w:t>
      </w:r>
      <w:r w:rsidR="00D97A8E">
        <w:rPr>
          <w:rFonts w:asciiTheme="majorHAnsi" w:hAnsiTheme="majorHAnsi" w:cstheme="majorBidi"/>
          <w:sz w:val="24"/>
          <w:szCs w:val="24"/>
        </w:rPr>
        <w:t xml:space="preserve">started in 2008 </w:t>
      </w:r>
      <w:r w:rsidR="00200ED2">
        <w:rPr>
          <w:rFonts w:asciiTheme="majorHAnsi" w:hAnsiTheme="majorHAnsi" w:cstheme="majorBidi"/>
          <w:sz w:val="24"/>
          <w:szCs w:val="24"/>
        </w:rPr>
        <w:t xml:space="preserve">in small quantities at a contractual selling price less </w:t>
      </w:r>
      <w:r w:rsidR="00D9265D">
        <w:rPr>
          <w:rFonts w:asciiTheme="majorHAnsi" w:hAnsiTheme="majorHAnsi" w:cstheme="majorBidi"/>
          <w:sz w:val="24"/>
          <w:szCs w:val="24"/>
        </w:rPr>
        <w:t xml:space="preserve">by a substantial margin </w:t>
      </w:r>
      <w:r w:rsidR="00200ED2">
        <w:rPr>
          <w:rFonts w:asciiTheme="majorHAnsi" w:hAnsiTheme="majorHAnsi" w:cstheme="majorBidi"/>
          <w:sz w:val="24"/>
          <w:szCs w:val="24"/>
        </w:rPr>
        <w:t>than the international prices for LNG.</w:t>
      </w:r>
      <w:r w:rsidR="00482989">
        <w:rPr>
          <w:rFonts w:asciiTheme="majorHAnsi" w:hAnsiTheme="majorHAnsi" w:cstheme="majorBidi"/>
          <w:sz w:val="24"/>
          <w:szCs w:val="24"/>
        </w:rPr>
        <w:t xml:space="preserve"> </w:t>
      </w:r>
      <w:r w:rsidR="00E62424">
        <w:rPr>
          <w:rFonts w:asciiTheme="majorHAnsi" w:hAnsiTheme="majorHAnsi" w:cstheme="majorBidi"/>
          <w:sz w:val="24"/>
          <w:szCs w:val="24"/>
        </w:rPr>
        <w:t xml:space="preserve">In 2010, the Yemeni government negotiated the contractual selling price of Yemen's LNG with Korea Gas Corporation while LNG production increased.  </w:t>
      </w:r>
      <w:r w:rsidR="00350C8F" w:rsidRPr="00350C8F">
        <w:rPr>
          <w:rFonts w:asciiTheme="majorHAnsi" w:hAnsiTheme="majorHAnsi"/>
          <w:sz w:val="24"/>
          <w:szCs w:val="24"/>
        </w:rPr>
        <w:t>Consequently</w:t>
      </w:r>
      <w:r w:rsidR="00E62424">
        <w:rPr>
          <w:rFonts w:asciiTheme="majorHAnsi" w:hAnsiTheme="majorHAnsi" w:cstheme="majorBidi"/>
          <w:sz w:val="24"/>
          <w:szCs w:val="24"/>
        </w:rPr>
        <w:t xml:space="preserve">, revenues from gas exports in 2011increased dramatically from 2009 level.  </w:t>
      </w:r>
      <w:r w:rsidR="00482989">
        <w:rPr>
          <w:rFonts w:asciiTheme="majorHAnsi" w:hAnsiTheme="majorHAnsi" w:cstheme="majorBidi"/>
          <w:sz w:val="24"/>
          <w:szCs w:val="24"/>
        </w:rPr>
        <w:t xml:space="preserve">Domestic Gas revenues </w:t>
      </w:r>
      <w:r w:rsidR="00F35EFC">
        <w:rPr>
          <w:rFonts w:asciiTheme="majorHAnsi" w:hAnsiTheme="majorHAnsi" w:cstheme="majorBidi"/>
          <w:sz w:val="24"/>
          <w:szCs w:val="24"/>
        </w:rPr>
        <w:t>come from the sales of subsidi</w:t>
      </w:r>
      <w:r w:rsidR="006A4684">
        <w:rPr>
          <w:rFonts w:asciiTheme="majorHAnsi" w:hAnsiTheme="majorHAnsi" w:cstheme="majorBidi"/>
          <w:sz w:val="24"/>
          <w:szCs w:val="24"/>
        </w:rPr>
        <w:t xml:space="preserve">zed </w:t>
      </w:r>
      <w:r w:rsidR="00E62424">
        <w:rPr>
          <w:rFonts w:asciiTheme="majorHAnsi" w:hAnsiTheme="majorHAnsi" w:cstheme="majorBidi"/>
          <w:sz w:val="24"/>
          <w:szCs w:val="24"/>
        </w:rPr>
        <w:t xml:space="preserve">products of </w:t>
      </w:r>
      <w:r w:rsidR="006A4684" w:rsidRPr="006A4684">
        <w:rPr>
          <w:rFonts w:asciiTheme="majorHAnsi" w:hAnsiTheme="majorHAnsi" w:cstheme="majorBidi"/>
          <w:sz w:val="24"/>
          <w:szCs w:val="24"/>
        </w:rPr>
        <w:t>Liquid Propane Gas</w:t>
      </w:r>
      <w:r w:rsidR="006A4684">
        <w:rPr>
          <w:rFonts w:asciiTheme="majorHAnsi" w:hAnsiTheme="majorHAnsi" w:cstheme="majorBidi"/>
          <w:sz w:val="24"/>
          <w:szCs w:val="24"/>
        </w:rPr>
        <w:t xml:space="preserve"> (LPG), which is </w:t>
      </w:r>
      <w:r w:rsidR="0049699C">
        <w:rPr>
          <w:rFonts w:asciiTheme="majorHAnsi" w:hAnsiTheme="majorHAnsi" w:cstheme="majorBidi"/>
          <w:sz w:val="24"/>
          <w:szCs w:val="24"/>
        </w:rPr>
        <w:t xml:space="preserve">imported </w:t>
      </w:r>
      <w:r w:rsidR="000E68B6">
        <w:rPr>
          <w:rFonts w:asciiTheme="majorHAnsi" w:hAnsiTheme="majorHAnsi" w:cstheme="majorBidi"/>
          <w:sz w:val="24"/>
          <w:szCs w:val="24"/>
        </w:rPr>
        <w:t xml:space="preserve">by Yemen Gas Company (YGC) at </w:t>
      </w:r>
      <w:r w:rsidR="0049699C">
        <w:rPr>
          <w:rFonts w:asciiTheme="majorHAnsi" w:hAnsiTheme="majorHAnsi" w:cstheme="majorBidi"/>
          <w:sz w:val="24"/>
          <w:szCs w:val="24"/>
        </w:rPr>
        <w:t xml:space="preserve">international </w:t>
      </w:r>
      <w:r w:rsidR="00251AB2">
        <w:rPr>
          <w:rFonts w:asciiTheme="majorHAnsi" w:hAnsiTheme="majorHAnsi" w:cstheme="majorBidi"/>
          <w:sz w:val="24"/>
          <w:szCs w:val="24"/>
        </w:rPr>
        <w:t xml:space="preserve">market </w:t>
      </w:r>
      <w:r w:rsidR="00A51E85">
        <w:rPr>
          <w:rFonts w:asciiTheme="majorHAnsi" w:hAnsiTheme="majorHAnsi" w:cstheme="majorBidi"/>
          <w:sz w:val="24"/>
          <w:szCs w:val="24"/>
        </w:rPr>
        <w:t xml:space="preserve">prices. </w:t>
      </w:r>
      <w:r w:rsidR="00251AB2">
        <w:rPr>
          <w:rFonts w:asciiTheme="majorHAnsi" w:hAnsiTheme="majorHAnsi" w:cstheme="majorBidi"/>
          <w:sz w:val="24"/>
          <w:szCs w:val="24"/>
        </w:rPr>
        <w:t xml:space="preserve"> In </w:t>
      </w:r>
      <w:r w:rsidR="00D9265D">
        <w:rPr>
          <w:rFonts w:asciiTheme="majorHAnsi" w:hAnsiTheme="majorHAnsi" w:cstheme="majorBidi"/>
          <w:sz w:val="24"/>
          <w:szCs w:val="24"/>
        </w:rPr>
        <w:t xml:space="preserve">2012, </w:t>
      </w:r>
      <w:r w:rsidR="00251AB2">
        <w:rPr>
          <w:rFonts w:asciiTheme="majorHAnsi" w:hAnsiTheme="majorHAnsi" w:cstheme="majorBidi"/>
          <w:sz w:val="24"/>
          <w:szCs w:val="24"/>
        </w:rPr>
        <w:t>domestic gas sales increased significantly due to the government increases in the selling price of LPG.</w:t>
      </w:r>
    </w:p>
    <w:tbl>
      <w:tblPr>
        <w:tblW w:w="11980" w:type="dxa"/>
        <w:tblInd w:w="108" w:type="dxa"/>
        <w:tblLook w:val="04A0"/>
      </w:tblPr>
      <w:tblGrid>
        <w:gridCol w:w="426"/>
        <w:gridCol w:w="438"/>
        <w:gridCol w:w="1991"/>
        <w:gridCol w:w="1275"/>
        <w:gridCol w:w="1276"/>
        <w:gridCol w:w="1134"/>
        <w:gridCol w:w="1138"/>
        <w:gridCol w:w="1138"/>
        <w:gridCol w:w="1138"/>
        <w:gridCol w:w="1122"/>
        <w:gridCol w:w="904"/>
      </w:tblGrid>
      <w:tr w:rsidR="00A51E85" w:rsidRPr="00A51E85" w:rsidTr="00A51E85">
        <w:trPr>
          <w:trHeight w:val="300"/>
        </w:trPr>
        <w:tc>
          <w:tcPr>
            <w:tcW w:w="7678" w:type="dxa"/>
            <w:gridSpan w:val="7"/>
            <w:tcBorders>
              <w:top w:val="nil"/>
              <w:left w:val="nil"/>
              <w:bottom w:val="single" w:sz="8" w:space="0" w:color="auto"/>
              <w:right w:val="nil"/>
            </w:tcBorders>
            <w:shd w:val="clear" w:color="auto" w:fill="auto"/>
            <w:noWrap/>
            <w:vAlign w:val="bottom"/>
            <w:hideMark/>
          </w:tcPr>
          <w:p w:rsidR="00A51E85" w:rsidRPr="00A51E85" w:rsidRDefault="00A51E85" w:rsidP="00A53A68">
            <w:pPr>
              <w:spacing w:after="0" w:line="240" w:lineRule="auto"/>
              <w:rPr>
                <w:rFonts w:ascii="Cambria" w:eastAsia="Times New Roman" w:hAnsi="Cambria" w:cs="Times New Roman"/>
                <w:b/>
                <w:bCs/>
                <w:i/>
                <w:iCs/>
                <w:color w:val="000000"/>
              </w:rPr>
            </w:pPr>
            <w:r w:rsidRPr="00A51E85">
              <w:rPr>
                <w:rFonts w:ascii="Cambria" w:eastAsia="Times New Roman" w:hAnsi="Cambria" w:cs="Times New Roman"/>
                <w:color w:val="000000"/>
              </w:rPr>
              <w:t xml:space="preserve">Table </w:t>
            </w:r>
            <w:r w:rsidR="00A53A68">
              <w:rPr>
                <w:rFonts w:ascii="Cambria" w:eastAsia="Times New Roman" w:hAnsi="Cambria" w:cs="Times New Roman"/>
                <w:color w:val="000000"/>
              </w:rPr>
              <w:t>10</w:t>
            </w:r>
            <w:r w:rsidRPr="00A51E85">
              <w:rPr>
                <w:rFonts w:ascii="Cambria" w:eastAsia="Times New Roman" w:hAnsi="Cambria" w:cs="Times New Roman"/>
                <w:b/>
                <w:bCs/>
                <w:i/>
                <w:iCs/>
                <w:color w:val="000000"/>
              </w:rPr>
              <w:t>: Oil &amp; Gas Revenues (in millions of YR)</w:t>
            </w:r>
          </w:p>
        </w:tc>
        <w:tc>
          <w:tcPr>
            <w:tcW w:w="1138" w:type="dxa"/>
            <w:tcBorders>
              <w:top w:val="nil"/>
              <w:left w:val="nil"/>
              <w:bottom w:val="nil"/>
              <w:right w:val="nil"/>
            </w:tcBorders>
            <w:shd w:val="clear" w:color="auto" w:fill="auto"/>
            <w:noWrap/>
            <w:vAlign w:val="bottom"/>
            <w:hideMark/>
          </w:tcPr>
          <w:p w:rsidR="00A51E85" w:rsidRPr="00A51E85" w:rsidRDefault="00A51E85" w:rsidP="00A51E85">
            <w:pPr>
              <w:spacing w:after="0" w:line="240" w:lineRule="auto"/>
              <w:rPr>
                <w:rFonts w:ascii="Cambria" w:eastAsia="Times New Roman" w:hAnsi="Cambria" w:cs="Times New Roman"/>
                <w:color w:val="000000"/>
              </w:rPr>
            </w:pPr>
          </w:p>
        </w:tc>
        <w:tc>
          <w:tcPr>
            <w:tcW w:w="1138" w:type="dxa"/>
            <w:tcBorders>
              <w:top w:val="nil"/>
              <w:left w:val="nil"/>
              <w:bottom w:val="nil"/>
              <w:right w:val="nil"/>
            </w:tcBorders>
            <w:shd w:val="clear" w:color="auto" w:fill="auto"/>
            <w:noWrap/>
            <w:vAlign w:val="bottom"/>
            <w:hideMark/>
          </w:tcPr>
          <w:p w:rsidR="00A51E85" w:rsidRPr="00A51E85" w:rsidRDefault="00A51E85" w:rsidP="00A51E85">
            <w:pPr>
              <w:spacing w:after="0" w:line="240" w:lineRule="auto"/>
              <w:rPr>
                <w:rFonts w:ascii="Cambria" w:eastAsia="Times New Roman" w:hAnsi="Cambria" w:cs="Times New Roman"/>
                <w:color w:val="000000"/>
              </w:rPr>
            </w:pPr>
          </w:p>
        </w:tc>
        <w:tc>
          <w:tcPr>
            <w:tcW w:w="1122" w:type="dxa"/>
            <w:tcBorders>
              <w:top w:val="nil"/>
              <w:left w:val="nil"/>
              <w:bottom w:val="nil"/>
              <w:right w:val="nil"/>
            </w:tcBorders>
            <w:shd w:val="clear" w:color="auto" w:fill="auto"/>
            <w:noWrap/>
            <w:vAlign w:val="bottom"/>
            <w:hideMark/>
          </w:tcPr>
          <w:p w:rsidR="00A51E85" w:rsidRPr="00A51E85" w:rsidRDefault="00A51E85" w:rsidP="00A51E85">
            <w:pPr>
              <w:spacing w:after="0" w:line="240" w:lineRule="auto"/>
              <w:rPr>
                <w:rFonts w:ascii="Cambria" w:eastAsia="Times New Roman" w:hAnsi="Cambria" w:cs="Times New Roman"/>
                <w:color w:val="000000"/>
              </w:rPr>
            </w:pPr>
          </w:p>
        </w:tc>
        <w:tc>
          <w:tcPr>
            <w:tcW w:w="904" w:type="dxa"/>
            <w:tcBorders>
              <w:top w:val="nil"/>
              <w:left w:val="nil"/>
              <w:bottom w:val="nil"/>
              <w:right w:val="nil"/>
            </w:tcBorders>
            <w:shd w:val="clear" w:color="auto" w:fill="auto"/>
            <w:noWrap/>
            <w:vAlign w:val="bottom"/>
            <w:hideMark/>
          </w:tcPr>
          <w:p w:rsidR="00A51E85" w:rsidRPr="00A51E85" w:rsidRDefault="00A51E85" w:rsidP="00A51E85">
            <w:pPr>
              <w:spacing w:after="0" w:line="240" w:lineRule="auto"/>
              <w:rPr>
                <w:rFonts w:ascii="Cambria" w:eastAsia="Times New Roman" w:hAnsi="Cambria" w:cs="Times New Roman"/>
                <w:color w:val="000000"/>
              </w:rPr>
            </w:pPr>
          </w:p>
        </w:tc>
      </w:tr>
      <w:tr w:rsidR="00A51E85" w:rsidRPr="00A51E85" w:rsidTr="00A51E85">
        <w:trPr>
          <w:trHeight w:val="1125"/>
        </w:trPr>
        <w:tc>
          <w:tcPr>
            <w:tcW w:w="285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b/>
                <w:bCs/>
                <w:color w:val="000000"/>
              </w:rPr>
            </w:pPr>
            <w:r w:rsidRPr="00A51E85">
              <w:rPr>
                <w:rFonts w:ascii="Cambria" w:eastAsia="Times New Roman" w:hAnsi="Cambria" w:cs="Times New Roman"/>
                <w:b/>
                <w:bCs/>
                <w:color w:val="000000"/>
              </w:rPr>
              <w:t xml:space="preserve">              Item                              Year</w:t>
            </w:r>
          </w:p>
        </w:tc>
        <w:tc>
          <w:tcPr>
            <w:tcW w:w="1275" w:type="dxa"/>
            <w:tcBorders>
              <w:top w:val="nil"/>
              <w:left w:val="nil"/>
              <w:bottom w:val="single" w:sz="8"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rPr>
            </w:pPr>
            <w:r w:rsidRPr="00A51E85">
              <w:rPr>
                <w:rFonts w:ascii="Cambria" w:eastAsia="Times New Roman" w:hAnsi="Cambria" w:cs="Times New Roman"/>
                <w:b/>
                <w:bCs/>
                <w:color w:val="000000"/>
              </w:rPr>
              <w:t>2007</w:t>
            </w:r>
          </w:p>
        </w:tc>
        <w:tc>
          <w:tcPr>
            <w:tcW w:w="1276" w:type="dxa"/>
            <w:tcBorders>
              <w:top w:val="nil"/>
              <w:left w:val="nil"/>
              <w:bottom w:val="single" w:sz="8"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rPr>
            </w:pPr>
            <w:r w:rsidRPr="00A51E85">
              <w:rPr>
                <w:rFonts w:ascii="Cambria" w:eastAsia="Times New Roman" w:hAnsi="Cambria" w:cs="Times New Roman"/>
                <w:b/>
                <w:bCs/>
                <w:color w:val="000000"/>
              </w:rPr>
              <w:t>2008</w:t>
            </w:r>
          </w:p>
        </w:tc>
        <w:tc>
          <w:tcPr>
            <w:tcW w:w="1134" w:type="dxa"/>
            <w:tcBorders>
              <w:top w:val="nil"/>
              <w:left w:val="nil"/>
              <w:bottom w:val="single" w:sz="8"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rPr>
            </w:pPr>
            <w:r w:rsidRPr="00A51E85">
              <w:rPr>
                <w:rFonts w:ascii="Cambria" w:eastAsia="Times New Roman" w:hAnsi="Cambria" w:cs="Times New Roman"/>
                <w:b/>
                <w:bCs/>
                <w:color w:val="000000"/>
              </w:rPr>
              <w:t>2009</w:t>
            </w:r>
          </w:p>
        </w:tc>
        <w:tc>
          <w:tcPr>
            <w:tcW w:w="1138" w:type="dxa"/>
            <w:tcBorders>
              <w:top w:val="nil"/>
              <w:left w:val="nil"/>
              <w:bottom w:val="single" w:sz="8"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rPr>
            </w:pPr>
            <w:r w:rsidRPr="00A51E85">
              <w:rPr>
                <w:rFonts w:ascii="Cambria" w:eastAsia="Times New Roman" w:hAnsi="Cambria" w:cs="Times New Roman"/>
                <w:b/>
                <w:bCs/>
                <w:color w:val="000000"/>
              </w:rPr>
              <w:t>2010</w:t>
            </w:r>
          </w:p>
        </w:tc>
        <w:tc>
          <w:tcPr>
            <w:tcW w:w="1138" w:type="dxa"/>
            <w:tcBorders>
              <w:top w:val="single" w:sz="8" w:space="0" w:color="auto"/>
              <w:left w:val="nil"/>
              <w:bottom w:val="single" w:sz="8"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rPr>
            </w:pPr>
            <w:r w:rsidRPr="00A51E85">
              <w:rPr>
                <w:rFonts w:ascii="Cambria" w:eastAsia="Times New Roman" w:hAnsi="Cambria" w:cs="Times New Roman"/>
                <w:b/>
                <w:bCs/>
                <w:color w:val="000000"/>
              </w:rPr>
              <w:t>2011</w:t>
            </w:r>
          </w:p>
        </w:tc>
        <w:tc>
          <w:tcPr>
            <w:tcW w:w="1138" w:type="dxa"/>
            <w:tcBorders>
              <w:top w:val="single" w:sz="8" w:space="0" w:color="auto"/>
              <w:left w:val="nil"/>
              <w:bottom w:val="single" w:sz="8" w:space="0" w:color="auto"/>
              <w:right w:val="single" w:sz="8"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rPr>
            </w:pPr>
            <w:r w:rsidRPr="00A51E85">
              <w:rPr>
                <w:rFonts w:ascii="Cambria" w:eastAsia="Times New Roman" w:hAnsi="Cambria" w:cs="Times New Roman"/>
                <w:b/>
                <w:bCs/>
                <w:color w:val="000000"/>
              </w:rPr>
              <w:t>2012</w:t>
            </w:r>
          </w:p>
        </w:tc>
        <w:tc>
          <w:tcPr>
            <w:tcW w:w="1122" w:type="dxa"/>
            <w:tcBorders>
              <w:top w:val="single" w:sz="8" w:space="0" w:color="auto"/>
              <w:left w:val="nil"/>
              <w:bottom w:val="single" w:sz="8" w:space="0" w:color="auto"/>
              <w:right w:val="single" w:sz="8" w:space="0" w:color="auto"/>
            </w:tcBorders>
            <w:shd w:val="clear" w:color="auto" w:fill="auto"/>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5-Year % Average of Total Revenues</w:t>
            </w:r>
          </w:p>
        </w:tc>
        <w:tc>
          <w:tcPr>
            <w:tcW w:w="904" w:type="dxa"/>
            <w:tcBorders>
              <w:top w:val="single" w:sz="8" w:space="0" w:color="auto"/>
              <w:left w:val="nil"/>
              <w:bottom w:val="single" w:sz="8" w:space="0" w:color="auto"/>
              <w:right w:val="single" w:sz="8" w:space="0" w:color="auto"/>
            </w:tcBorders>
            <w:shd w:val="clear" w:color="auto" w:fill="auto"/>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5-Year Growth Rate</w:t>
            </w:r>
          </w:p>
        </w:tc>
      </w:tr>
      <w:tr w:rsidR="00A51E85" w:rsidRPr="00A51E85" w:rsidTr="00A51E85">
        <w:trPr>
          <w:trHeight w:val="285"/>
        </w:trPr>
        <w:tc>
          <w:tcPr>
            <w:tcW w:w="426" w:type="dxa"/>
            <w:tcBorders>
              <w:top w:val="nil"/>
              <w:left w:val="single" w:sz="8" w:space="0" w:color="auto"/>
              <w:bottom w:val="nil"/>
              <w:right w:val="nil"/>
            </w:tcBorders>
            <w:shd w:val="clear" w:color="000000" w:fill="93CDDD"/>
            <w:noWrap/>
            <w:vAlign w:val="center"/>
            <w:hideMark/>
          </w:tcPr>
          <w:p w:rsidR="00A51E85" w:rsidRPr="00A51E85" w:rsidRDefault="00A51E85" w:rsidP="00A51E85">
            <w:pPr>
              <w:spacing w:after="0" w:line="240" w:lineRule="auto"/>
              <w:rPr>
                <w:rFonts w:ascii="Cambria" w:eastAsia="Times New Roman" w:hAnsi="Cambria" w:cs="Times New Roman"/>
                <w:color w:val="000000"/>
              </w:rPr>
            </w:pPr>
            <w:r w:rsidRPr="00A51E85">
              <w:rPr>
                <w:rFonts w:ascii="Cambria" w:eastAsia="Times New Roman" w:hAnsi="Cambria" w:cs="Times New Roman"/>
                <w:color w:val="000000"/>
              </w:rPr>
              <w:t> </w:t>
            </w:r>
          </w:p>
        </w:tc>
        <w:tc>
          <w:tcPr>
            <w:tcW w:w="2429" w:type="dxa"/>
            <w:gridSpan w:val="2"/>
            <w:tcBorders>
              <w:top w:val="nil"/>
              <w:left w:val="nil"/>
              <w:bottom w:val="single" w:sz="4" w:space="0" w:color="auto"/>
              <w:right w:val="single" w:sz="8" w:space="0" w:color="000000"/>
            </w:tcBorders>
            <w:shd w:val="clear" w:color="000000" w:fill="93CDDD"/>
            <w:noWrap/>
            <w:vAlign w:val="center"/>
            <w:hideMark/>
          </w:tcPr>
          <w:p w:rsidR="00A51E85" w:rsidRPr="00A51E85" w:rsidRDefault="00A51E85" w:rsidP="00A51E85">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 xml:space="preserve"> </w:t>
            </w:r>
            <w:r w:rsidRPr="00A51E85">
              <w:rPr>
                <w:rFonts w:ascii="Cambria" w:eastAsia="Times New Roman" w:hAnsi="Cambria" w:cs="Times New Roman"/>
                <w:b/>
                <w:bCs/>
                <w:color w:val="000000"/>
              </w:rPr>
              <w:t>Oil and Gas Revenues</w:t>
            </w:r>
          </w:p>
        </w:tc>
        <w:tc>
          <w:tcPr>
            <w:tcW w:w="1275" w:type="dxa"/>
            <w:tcBorders>
              <w:top w:val="nil"/>
              <w:left w:val="nil"/>
              <w:bottom w:val="single" w:sz="4" w:space="0" w:color="auto"/>
              <w:right w:val="single" w:sz="4" w:space="0" w:color="auto"/>
            </w:tcBorders>
            <w:shd w:val="clear" w:color="000000" w:fill="93CDDD"/>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947,829 </w:t>
            </w:r>
          </w:p>
        </w:tc>
        <w:tc>
          <w:tcPr>
            <w:tcW w:w="1276" w:type="dxa"/>
            <w:tcBorders>
              <w:top w:val="nil"/>
              <w:left w:val="nil"/>
              <w:bottom w:val="single" w:sz="4" w:space="0" w:color="auto"/>
              <w:right w:val="single" w:sz="4" w:space="0" w:color="auto"/>
            </w:tcBorders>
            <w:shd w:val="clear" w:color="000000" w:fill="93CDDD"/>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1,456,723 </w:t>
            </w:r>
          </w:p>
        </w:tc>
        <w:tc>
          <w:tcPr>
            <w:tcW w:w="1134" w:type="dxa"/>
            <w:tcBorders>
              <w:top w:val="nil"/>
              <w:left w:val="nil"/>
              <w:bottom w:val="single" w:sz="4" w:space="0" w:color="auto"/>
              <w:right w:val="single" w:sz="4" w:space="0" w:color="auto"/>
            </w:tcBorders>
            <w:shd w:val="clear" w:color="000000" w:fill="93CDDD"/>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715,800 </w:t>
            </w:r>
          </w:p>
        </w:tc>
        <w:tc>
          <w:tcPr>
            <w:tcW w:w="1138" w:type="dxa"/>
            <w:tcBorders>
              <w:top w:val="nil"/>
              <w:left w:val="nil"/>
              <w:bottom w:val="single" w:sz="4" w:space="0" w:color="auto"/>
              <w:right w:val="single" w:sz="4" w:space="0" w:color="auto"/>
            </w:tcBorders>
            <w:shd w:val="clear" w:color="000000" w:fill="93CDDD"/>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1,090,073 </w:t>
            </w:r>
          </w:p>
        </w:tc>
        <w:tc>
          <w:tcPr>
            <w:tcW w:w="1138" w:type="dxa"/>
            <w:tcBorders>
              <w:top w:val="nil"/>
              <w:left w:val="nil"/>
              <w:bottom w:val="single" w:sz="4" w:space="0" w:color="auto"/>
              <w:right w:val="single" w:sz="4" w:space="0" w:color="auto"/>
            </w:tcBorders>
            <w:shd w:val="clear" w:color="000000" w:fill="93CDDD"/>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1,186,009 </w:t>
            </w:r>
          </w:p>
        </w:tc>
        <w:tc>
          <w:tcPr>
            <w:tcW w:w="1138" w:type="dxa"/>
            <w:tcBorders>
              <w:top w:val="nil"/>
              <w:left w:val="nil"/>
              <w:bottom w:val="single" w:sz="4" w:space="0" w:color="auto"/>
              <w:right w:val="single" w:sz="4" w:space="0" w:color="auto"/>
            </w:tcBorders>
            <w:shd w:val="clear" w:color="000000" w:fill="93CDDD"/>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1,090,993 </w:t>
            </w:r>
          </w:p>
        </w:tc>
        <w:tc>
          <w:tcPr>
            <w:tcW w:w="1122" w:type="dxa"/>
            <w:tcBorders>
              <w:top w:val="nil"/>
              <w:left w:val="single" w:sz="8" w:space="0" w:color="auto"/>
              <w:bottom w:val="single" w:sz="4" w:space="0" w:color="auto"/>
              <w:right w:val="single" w:sz="8" w:space="0" w:color="auto"/>
            </w:tcBorders>
            <w:shd w:val="clear" w:color="000000" w:fill="93CDDD"/>
            <w:noWrap/>
            <w:vAlign w:val="center"/>
            <w:hideMark/>
          </w:tcPr>
          <w:p w:rsidR="00A51E85" w:rsidRPr="00A51E85" w:rsidRDefault="00A51E85" w:rsidP="00A51E85">
            <w:pPr>
              <w:spacing w:after="0" w:line="240" w:lineRule="auto"/>
              <w:jc w:val="center"/>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61%</w:t>
            </w:r>
          </w:p>
        </w:tc>
        <w:tc>
          <w:tcPr>
            <w:tcW w:w="904" w:type="dxa"/>
            <w:tcBorders>
              <w:top w:val="nil"/>
              <w:left w:val="nil"/>
              <w:bottom w:val="single" w:sz="4" w:space="0" w:color="auto"/>
              <w:right w:val="single" w:sz="8" w:space="0" w:color="auto"/>
            </w:tcBorders>
            <w:shd w:val="clear" w:color="000000" w:fill="93CDDD"/>
            <w:noWrap/>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3%</w:t>
            </w:r>
          </w:p>
        </w:tc>
      </w:tr>
      <w:tr w:rsidR="00A51E85" w:rsidRPr="00A51E85" w:rsidTr="00A51E85">
        <w:trPr>
          <w:trHeight w:val="285"/>
        </w:trPr>
        <w:tc>
          <w:tcPr>
            <w:tcW w:w="426" w:type="dxa"/>
            <w:tcBorders>
              <w:top w:val="nil"/>
              <w:left w:val="single" w:sz="8" w:space="0" w:color="auto"/>
              <w:bottom w:val="nil"/>
              <w:right w:val="single" w:sz="4" w:space="0" w:color="auto"/>
            </w:tcBorders>
            <w:shd w:val="clear" w:color="000000" w:fill="93CDDD"/>
            <w:noWrap/>
            <w:vAlign w:val="center"/>
            <w:hideMark/>
          </w:tcPr>
          <w:p w:rsidR="00A51E85" w:rsidRPr="00A51E85" w:rsidRDefault="00A51E85" w:rsidP="00A51E85">
            <w:pPr>
              <w:spacing w:after="0" w:line="240" w:lineRule="auto"/>
              <w:rPr>
                <w:rFonts w:ascii="Cambria" w:eastAsia="Times New Roman" w:hAnsi="Cambria" w:cs="Times New Roman"/>
                <w:color w:val="000000"/>
              </w:rPr>
            </w:pPr>
            <w:r w:rsidRPr="00A51E85">
              <w:rPr>
                <w:rFonts w:ascii="Cambria" w:eastAsia="Times New Roman" w:hAnsi="Cambria" w:cs="Times New Roman"/>
                <w:color w:val="000000"/>
              </w:rPr>
              <w:t> </w:t>
            </w:r>
          </w:p>
        </w:tc>
        <w:tc>
          <w:tcPr>
            <w:tcW w:w="438" w:type="dxa"/>
            <w:tcBorders>
              <w:top w:val="nil"/>
              <w:left w:val="nil"/>
              <w:bottom w:val="single" w:sz="4" w:space="0" w:color="auto"/>
              <w:right w:val="single" w:sz="4" w:space="0" w:color="auto"/>
            </w:tcBorders>
            <w:shd w:val="clear" w:color="000000" w:fill="FFFFFF"/>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01</w:t>
            </w:r>
          </w:p>
        </w:tc>
        <w:tc>
          <w:tcPr>
            <w:tcW w:w="1991" w:type="dxa"/>
            <w:tcBorders>
              <w:top w:val="nil"/>
              <w:left w:val="nil"/>
              <w:bottom w:val="single" w:sz="4" w:space="0" w:color="auto"/>
              <w:right w:val="single" w:sz="8"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Exported Crude Oil</w:t>
            </w:r>
          </w:p>
        </w:tc>
        <w:tc>
          <w:tcPr>
            <w:tcW w:w="1275" w:type="dxa"/>
            <w:tcBorders>
              <w:top w:val="nil"/>
              <w:left w:val="nil"/>
              <w:bottom w:val="single" w:sz="4"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486,349 </w:t>
            </w:r>
          </w:p>
        </w:tc>
        <w:tc>
          <w:tcPr>
            <w:tcW w:w="1276" w:type="dxa"/>
            <w:tcBorders>
              <w:top w:val="nil"/>
              <w:left w:val="nil"/>
              <w:bottom w:val="single" w:sz="4"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837,711 </w:t>
            </w:r>
          </w:p>
        </w:tc>
        <w:tc>
          <w:tcPr>
            <w:tcW w:w="1134" w:type="dxa"/>
            <w:tcBorders>
              <w:top w:val="nil"/>
              <w:left w:val="nil"/>
              <w:bottom w:val="single" w:sz="4"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348,882 </w:t>
            </w:r>
          </w:p>
        </w:tc>
        <w:tc>
          <w:tcPr>
            <w:tcW w:w="1138" w:type="dxa"/>
            <w:tcBorders>
              <w:top w:val="nil"/>
              <w:left w:val="nil"/>
              <w:bottom w:val="single" w:sz="4"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548,320 </w:t>
            </w:r>
          </w:p>
        </w:tc>
        <w:tc>
          <w:tcPr>
            <w:tcW w:w="1138" w:type="dxa"/>
            <w:tcBorders>
              <w:top w:val="nil"/>
              <w:left w:val="nil"/>
              <w:bottom w:val="single" w:sz="4"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728,287 </w:t>
            </w:r>
          </w:p>
        </w:tc>
        <w:tc>
          <w:tcPr>
            <w:tcW w:w="1138" w:type="dxa"/>
            <w:tcBorders>
              <w:top w:val="nil"/>
              <w:left w:val="nil"/>
              <w:bottom w:val="single" w:sz="4" w:space="0" w:color="auto"/>
              <w:right w:val="single" w:sz="8"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764,317 </w:t>
            </w:r>
          </w:p>
        </w:tc>
        <w:tc>
          <w:tcPr>
            <w:tcW w:w="1122" w:type="dxa"/>
            <w:tcBorders>
              <w:top w:val="nil"/>
              <w:left w:val="nil"/>
              <w:bottom w:val="single" w:sz="4" w:space="0" w:color="auto"/>
              <w:right w:val="single" w:sz="8" w:space="0" w:color="auto"/>
            </w:tcBorders>
            <w:shd w:val="clear" w:color="000000" w:fill="F2F2F2"/>
            <w:noWrap/>
            <w:vAlign w:val="center"/>
            <w:hideMark/>
          </w:tcPr>
          <w:p w:rsidR="00A51E85" w:rsidRPr="00A51E85" w:rsidRDefault="00A51E85" w:rsidP="00A51E85">
            <w:pPr>
              <w:spacing w:after="0" w:line="240" w:lineRule="auto"/>
              <w:jc w:val="center"/>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35%</w:t>
            </w:r>
          </w:p>
        </w:tc>
        <w:tc>
          <w:tcPr>
            <w:tcW w:w="904" w:type="dxa"/>
            <w:tcBorders>
              <w:top w:val="nil"/>
              <w:left w:val="nil"/>
              <w:bottom w:val="single" w:sz="4" w:space="0" w:color="auto"/>
              <w:right w:val="single" w:sz="8"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3%</w:t>
            </w:r>
          </w:p>
        </w:tc>
      </w:tr>
      <w:tr w:rsidR="00A51E85" w:rsidRPr="00A51E85" w:rsidTr="00A51E85">
        <w:trPr>
          <w:trHeight w:val="300"/>
        </w:trPr>
        <w:tc>
          <w:tcPr>
            <w:tcW w:w="426" w:type="dxa"/>
            <w:tcBorders>
              <w:top w:val="nil"/>
              <w:left w:val="single" w:sz="8" w:space="0" w:color="auto"/>
              <w:bottom w:val="nil"/>
              <w:right w:val="single" w:sz="4" w:space="0" w:color="auto"/>
            </w:tcBorders>
            <w:shd w:val="clear" w:color="000000" w:fill="93CDDD"/>
            <w:noWrap/>
            <w:vAlign w:val="center"/>
            <w:hideMark/>
          </w:tcPr>
          <w:p w:rsidR="00A51E85" w:rsidRPr="00A51E85" w:rsidRDefault="00A51E85" w:rsidP="00A51E85">
            <w:pPr>
              <w:spacing w:after="0" w:line="240" w:lineRule="auto"/>
              <w:rPr>
                <w:rFonts w:ascii="Cambria" w:eastAsia="Times New Roman" w:hAnsi="Cambria" w:cs="Times New Roman"/>
                <w:color w:val="000000"/>
              </w:rPr>
            </w:pPr>
            <w:r w:rsidRPr="00A51E85">
              <w:rPr>
                <w:rFonts w:ascii="Cambria" w:eastAsia="Times New Roman" w:hAnsi="Cambria" w:cs="Times New Roman"/>
                <w:color w:val="000000"/>
              </w:rPr>
              <w:t> </w:t>
            </w:r>
          </w:p>
        </w:tc>
        <w:tc>
          <w:tcPr>
            <w:tcW w:w="438" w:type="dxa"/>
            <w:tcBorders>
              <w:top w:val="nil"/>
              <w:left w:val="nil"/>
              <w:bottom w:val="nil"/>
              <w:right w:val="single" w:sz="4" w:space="0" w:color="auto"/>
            </w:tcBorders>
            <w:shd w:val="clear" w:color="000000" w:fill="FFFFFF"/>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02</w:t>
            </w:r>
          </w:p>
        </w:tc>
        <w:tc>
          <w:tcPr>
            <w:tcW w:w="1991" w:type="dxa"/>
            <w:tcBorders>
              <w:top w:val="nil"/>
              <w:left w:val="nil"/>
              <w:bottom w:val="nil"/>
              <w:right w:val="single" w:sz="8"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Domestic  Oil Revenues</w:t>
            </w:r>
          </w:p>
        </w:tc>
        <w:tc>
          <w:tcPr>
            <w:tcW w:w="1275" w:type="dxa"/>
            <w:tcBorders>
              <w:top w:val="nil"/>
              <w:left w:val="nil"/>
              <w:bottom w:val="nil"/>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446,977 </w:t>
            </w:r>
          </w:p>
        </w:tc>
        <w:tc>
          <w:tcPr>
            <w:tcW w:w="1276" w:type="dxa"/>
            <w:tcBorders>
              <w:top w:val="nil"/>
              <w:left w:val="nil"/>
              <w:bottom w:val="nil"/>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600,007 </w:t>
            </w:r>
          </w:p>
        </w:tc>
        <w:tc>
          <w:tcPr>
            <w:tcW w:w="1134" w:type="dxa"/>
            <w:tcBorders>
              <w:top w:val="nil"/>
              <w:left w:val="nil"/>
              <w:bottom w:val="nil"/>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347,350 </w:t>
            </w:r>
          </w:p>
        </w:tc>
        <w:tc>
          <w:tcPr>
            <w:tcW w:w="1138" w:type="dxa"/>
            <w:tcBorders>
              <w:top w:val="nil"/>
              <w:left w:val="nil"/>
              <w:bottom w:val="nil"/>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489,873 </w:t>
            </w:r>
          </w:p>
        </w:tc>
        <w:tc>
          <w:tcPr>
            <w:tcW w:w="1138" w:type="dxa"/>
            <w:tcBorders>
              <w:top w:val="nil"/>
              <w:left w:val="nil"/>
              <w:bottom w:val="nil"/>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393,052 </w:t>
            </w:r>
          </w:p>
        </w:tc>
        <w:tc>
          <w:tcPr>
            <w:tcW w:w="1138" w:type="dxa"/>
            <w:tcBorders>
              <w:top w:val="nil"/>
              <w:left w:val="nil"/>
              <w:bottom w:val="nil"/>
              <w:right w:val="single" w:sz="8"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243,220 </w:t>
            </w:r>
          </w:p>
        </w:tc>
        <w:tc>
          <w:tcPr>
            <w:tcW w:w="1122" w:type="dxa"/>
            <w:tcBorders>
              <w:top w:val="nil"/>
              <w:left w:val="nil"/>
              <w:bottom w:val="nil"/>
              <w:right w:val="single" w:sz="8" w:space="0" w:color="auto"/>
            </w:tcBorders>
            <w:shd w:val="clear" w:color="000000" w:fill="F2F2F2"/>
            <w:noWrap/>
            <w:vAlign w:val="center"/>
            <w:hideMark/>
          </w:tcPr>
          <w:p w:rsidR="00A51E85" w:rsidRPr="00A51E85" w:rsidRDefault="00A51E85" w:rsidP="00A51E85">
            <w:pPr>
              <w:spacing w:after="0" w:line="240" w:lineRule="auto"/>
              <w:jc w:val="center"/>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25%</w:t>
            </w:r>
          </w:p>
        </w:tc>
        <w:tc>
          <w:tcPr>
            <w:tcW w:w="904" w:type="dxa"/>
            <w:tcBorders>
              <w:top w:val="nil"/>
              <w:left w:val="nil"/>
              <w:bottom w:val="nil"/>
              <w:right w:val="single" w:sz="8"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-11%</w:t>
            </w:r>
          </w:p>
        </w:tc>
      </w:tr>
      <w:tr w:rsidR="00A51E85" w:rsidRPr="00A51E85" w:rsidTr="00A51E85">
        <w:trPr>
          <w:trHeight w:val="300"/>
        </w:trPr>
        <w:tc>
          <w:tcPr>
            <w:tcW w:w="426" w:type="dxa"/>
            <w:tcBorders>
              <w:top w:val="nil"/>
              <w:left w:val="single" w:sz="8" w:space="0" w:color="auto"/>
              <w:bottom w:val="nil"/>
              <w:right w:val="nil"/>
            </w:tcBorders>
            <w:shd w:val="clear" w:color="000000" w:fill="93CDDD"/>
            <w:noWrap/>
            <w:vAlign w:val="center"/>
            <w:hideMark/>
          </w:tcPr>
          <w:p w:rsidR="00A51E85" w:rsidRPr="00A51E85" w:rsidRDefault="00A51E85" w:rsidP="00A51E85">
            <w:pPr>
              <w:spacing w:after="0" w:line="240" w:lineRule="auto"/>
              <w:rPr>
                <w:rFonts w:ascii="Cambria" w:eastAsia="Times New Roman" w:hAnsi="Cambria" w:cs="Times New Roman"/>
                <w:color w:val="000000"/>
              </w:rPr>
            </w:pPr>
            <w:r w:rsidRPr="00A51E85">
              <w:rPr>
                <w:rFonts w:ascii="Cambria" w:eastAsia="Times New Roman" w:hAnsi="Cambria" w:cs="Times New Roman"/>
                <w:color w:val="000000"/>
              </w:rPr>
              <w:t> </w:t>
            </w:r>
          </w:p>
        </w:tc>
        <w:tc>
          <w:tcPr>
            <w:tcW w:w="438" w:type="dxa"/>
            <w:tcBorders>
              <w:top w:val="single" w:sz="8" w:space="0" w:color="auto"/>
              <w:left w:val="single" w:sz="8" w:space="0" w:color="auto"/>
              <w:bottom w:val="single" w:sz="8" w:space="0" w:color="auto"/>
              <w:right w:val="double" w:sz="6" w:space="0" w:color="auto"/>
            </w:tcBorders>
            <w:shd w:val="clear" w:color="000000" w:fill="000000"/>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w:t>
            </w:r>
          </w:p>
        </w:tc>
        <w:tc>
          <w:tcPr>
            <w:tcW w:w="1991" w:type="dxa"/>
            <w:tcBorders>
              <w:top w:val="single" w:sz="8" w:space="0" w:color="auto"/>
              <w:left w:val="nil"/>
              <w:bottom w:val="single" w:sz="8" w:space="0" w:color="auto"/>
              <w:right w:val="single" w:sz="8"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Total Oil Revenues</w:t>
            </w:r>
          </w:p>
        </w:tc>
        <w:tc>
          <w:tcPr>
            <w:tcW w:w="1275"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933,326 </w:t>
            </w:r>
          </w:p>
        </w:tc>
        <w:tc>
          <w:tcPr>
            <w:tcW w:w="1276"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1,437,718 </w:t>
            </w:r>
          </w:p>
        </w:tc>
        <w:tc>
          <w:tcPr>
            <w:tcW w:w="1134"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696,232 </w:t>
            </w:r>
          </w:p>
        </w:tc>
        <w:tc>
          <w:tcPr>
            <w:tcW w:w="1138"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1,038,193 </w:t>
            </w:r>
          </w:p>
        </w:tc>
        <w:tc>
          <w:tcPr>
            <w:tcW w:w="1138"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1,121,339 </w:t>
            </w:r>
          </w:p>
        </w:tc>
        <w:tc>
          <w:tcPr>
            <w:tcW w:w="1138"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sz w:val="20"/>
                <w:szCs w:val="20"/>
              </w:rPr>
            </w:pPr>
            <w:r w:rsidRPr="00A51E85">
              <w:rPr>
                <w:rFonts w:ascii="Cambria" w:eastAsia="Times New Roman" w:hAnsi="Cambria" w:cs="Times New Roman"/>
                <w:b/>
                <w:bCs/>
                <w:sz w:val="20"/>
                <w:szCs w:val="20"/>
              </w:rPr>
              <w:t xml:space="preserve">    1,007,537 </w:t>
            </w:r>
          </w:p>
        </w:tc>
        <w:tc>
          <w:tcPr>
            <w:tcW w:w="1122" w:type="dxa"/>
            <w:tcBorders>
              <w:top w:val="single" w:sz="8" w:space="0" w:color="auto"/>
              <w:left w:val="nil"/>
              <w:bottom w:val="single" w:sz="8" w:space="0" w:color="auto"/>
              <w:right w:val="double" w:sz="6" w:space="0" w:color="auto"/>
            </w:tcBorders>
            <w:shd w:val="clear" w:color="000000" w:fill="F2F2F2"/>
            <w:noWrap/>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60%</w:t>
            </w:r>
          </w:p>
        </w:tc>
        <w:tc>
          <w:tcPr>
            <w:tcW w:w="904" w:type="dxa"/>
            <w:tcBorders>
              <w:top w:val="single" w:sz="8" w:space="0" w:color="auto"/>
              <w:left w:val="nil"/>
              <w:bottom w:val="single" w:sz="8" w:space="0" w:color="auto"/>
              <w:right w:val="single" w:sz="8" w:space="0" w:color="auto"/>
            </w:tcBorders>
            <w:shd w:val="clear" w:color="auto" w:fill="auto"/>
            <w:noWrap/>
            <w:vAlign w:val="center"/>
            <w:hideMark/>
          </w:tcPr>
          <w:p w:rsidR="00A51E85" w:rsidRPr="00A51E85" w:rsidRDefault="000E68B6" w:rsidP="00A51E85">
            <w:pPr>
              <w:spacing w:after="0" w:line="240" w:lineRule="auto"/>
              <w:jc w:val="center"/>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1.5</w:t>
            </w:r>
            <w:r w:rsidR="00A51E85" w:rsidRPr="00A51E85">
              <w:rPr>
                <w:rFonts w:ascii="Cambria" w:eastAsia="Times New Roman" w:hAnsi="Cambria" w:cs="Times New Roman"/>
                <w:b/>
                <w:bCs/>
                <w:color w:val="000000"/>
                <w:sz w:val="20"/>
                <w:szCs w:val="20"/>
              </w:rPr>
              <w:t>%</w:t>
            </w:r>
          </w:p>
        </w:tc>
      </w:tr>
      <w:tr w:rsidR="00A51E85" w:rsidRPr="00A51E85" w:rsidTr="00A51E85">
        <w:trPr>
          <w:trHeight w:val="285"/>
        </w:trPr>
        <w:tc>
          <w:tcPr>
            <w:tcW w:w="426" w:type="dxa"/>
            <w:tcBorders>
              <w:top w:val="nil"/>
              <w:left w:val="single" w:sz="8" w:space="0" w:color="auto"/>
              <w:bottom w:val="nil"/>
              <w:right w:val="single" w:sz="4" w:space="0" w:color="auto"/>
            </w:tcBorders>
            <w:shd w:val="clear" w:color="000000" w:fill="93CDDD"/>
            <w:noWrap/>
            <w:vAlign w:val="center"/>
            <w:hideMark/>
          </w:tcPr>
          <w:p w:rsidR="00A51E85" w:rsidRPr="00A51E85" w:rsidRDefault="00A51E85" w:rsidP="00A51E85">
            <w:pPr>
              <w:spacing w:after="0" w:line="240" w:lineRule="auto"/>
              <w:rPr>
                <w:rFonts w:ascii="Cambria" w:eastAsia="Times New Roman" w:hAnsi="Cambria" w:cs="Times New Roman"/>
                <w:color w:val="000000"/>
              </w:rPr>
            </w:pPr>
            <w:r w:rsidRPr="00A51E85">
              <w:rPr>
                <w:rFonts w:ascii="Cambria" w:eastAsia="Times New Roman" w:hAnsi="Cambria" w:cs="Times New Roman"/>
                <w:color w:val="000000"/>
              </w:rPr>
              <w:t> </w:t>
            </w:r>
          </w:p>
        </w:tc>
        <w:tc>
          <w:tcPr>
            <w:tcW w:w="438" w:type="dxa"/>
            <w:tcBorders>
              <w:top w:val="nil"/>
              <w:left w:val="nil"/>
              <w:bottom w:val="single" w:sz="4" w:space="0" w:color="auto"/>
              <w:right w:val="single" w:sz="4" w:space="0" w:color="auto"/>
            </w:tcBorders>
            <w:shd w:val="clear" w:color="000000" w:fill="FFFFFF"/>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03</w:t>
            </w:r>
          </w:p>
        </w:tc>
        <w:tc>
          <w:tcPr>
            <w:tcW w:w="1991" w:type="dxa"/>
            <w:tcBorders>
              <w:top w:val="nil"/>
              <w:left w:val="nil"/>
              <w:bottom w:val="single" w:sz="4" w:space="0" w:color="auto"/>
              <w:right w:val="single" w:sz="8"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Gas Exports*</w:t>
            </w:r>
          </w:p>
        </w:tc>
        <w:tc>
          <w:tcPr>
            <w:tcW w:w="1275" w:type="dxa"/>
            <w:tcBorders>
              <w:top w:val="nil"/>
              <w:left w:val="nil"/>
              <w:bottom w:val="single" w:sz="4"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496 </w:t>
            </w:r>
          </w:p>
        </w:tc>
        <w:tc>
          <w:tcPr>
            <w:tcW w:w="1138" w:type="dxa"/>
            <w:tcBorders>
              <w:top w:val="nil"/>
              <w:left w:val="nil"/>
              <w:bottom w:val="single" w:sz="4"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21,267 </w:t>
            </w:r>
          </w:p>
        </w:tc>
        <w:tc>
          <w:tcPr>
            <w:tcW w:w="1138" w:type="dxa"/>
            <w:tcBorders>
              <w:top w:val="nil"/>
              <w:left w:val="nil"/>
              <w:bottom w:val="single" w:sz="4" w:space="0" w:color="auto"/>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38,475 </w:t>
            </w:r>
          </w:p>
        </w:tc>
        <w:tc>
          <w:tcPr>
            <w:tcW w:w="1138" w:type="dxa"/>
            <w:tcBorders>
              <w:top w:val="nil"/>
              <w:left w:val="nil"/>
              <w:bottom w:val="single" w:sz="4" w:space="0" w:color="auto"/>
              <w:right w:val="single" w:sz="8"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34,142 </w:t>
            </w:r>
          </w:p>
        </w:tc>
        <w:tc>
          <w:tcPr>
            <w:tcW w:w="1122" w:type="dxa"/>
            <w:tcBorders>
              <w:top w:val="nil"/>
              <w:left w:val="nil"/>
              <w:bottom w:val="single" w:sz="4" w:space="0" w:color="auto"/>
              <w:right w:val="single" w:sz="8" w:space="0" w:color="auto"/>
            </w:tcBorders>
            <w:shd w:val="clear" w:color="000000" w:fill="F2F2F2"/>
            <w:noWrap/>
            <w:vAlign w:val="center"/>
            <w:hideMark/>
          </w:tcPr>
          <w:p w:rsidR="00A51E85" w:rsidRPr="00A51E85" w:rsidRDefault="00A51E85" w:rsidP="00A51E85">
            <w:pPr>
              <w:spacing w:after="0" w:line="240" w:lineRule="auto"/>
              <w:jc w:val="center"/>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1%</w:t>
            </w:r>
          </w:p>
        </w:tc>
        <w:tc>
          <w:tcPr>
            <w:tcW w:w="904" w:type="dxa"/>
            <w:tcBorders>
              <w:top w:val="nil"/>
              <w:left w:val="nil"/>
              <w:bottom w:val="single" w:sz="4" w:space="0" w:color="auto"/>
              <w:right w:val="single" w:sz="8"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color w:val="000000"/>
                <w:sz w:val="20"/>
                <w:szCs w:val="20"/>
              </w:rPr>
            </w:pPr>
            <w:r w:rsidRPr="00A51E85">
              <w:rPr>
                <w:rFonts w:ascii="Cambria" w:eastAsia="Times New Roman" w:hAnsi="Cambria" w:cs="Times New Roman"/>
                <w:b/>
                <w:bCs/>
                <w:color w:val="000000"/>
                <w:sz w:val="20"/>
                <w:szCs w:val="20"/>
              </w:rPr>
              <w:t>*</w:t>
            </w:r>
            <w:r w:rsidRPr="00A51E85">
              <w:rPr>
                <w:rFonts w:ascii="Cambria" w:eastAsia="Times New Roman" w:hAnsi="Cambria" w:cs="Times New Roman"/>
                <w:color w:val="000000"/>
                <w:sz w:val="20"/>
                <w:szCs w:val="20"/>
              </w:rPr>
              <w:t>27%</w:t>
            </w:r>
          </w:p>
        </w:tc>
      </w:tr>
      <w:tr w:rsidR="00A51E85" w:rsidRPr="00A51E85" w:rsidTr="00A51E85">
        <w:trPr>
          <w:trHeight w:val="300"/>
        </w:trPr>
        <w:tc>
          <w:tcPr>
            <w:tcW w:w="426" w:type="dxa"/>
            <w:tcBorders>
              <w:top w:val="nil"/>
              <w:left w:val="single" w:sz="8" w:space="0" w:color="auto"/>
              <w:bottom w:val="nil"/>
              <w:right w:val="single" w:sz="4" w:space="0" w:color="auto"/>
            </w:tcBorders>
            <w:shd w:val="clear" w:color="000000" w:fill="93CDDD"/>
            <w:noWrap/>
            <w:vAlign w:val="center"/>
            <w:hideMark/>
          </w:tcPr>
          <w:p w:rsidR="00A51E85" w:rsidRPr="00A51E85" w:rsidRDefault="00A51E85" w:rsidP="00A51E85">
            <w:pPr>
              <w:spacing w:after="0" w:line="240" w:lineRule="auto"/>
              <w:rPr>
                <w:rFonts w:ascii="Cambria" w:eastAsia="Times New Roman" w:hAnsi="Cambria" w:cs="Times New Roman"/>
                <w:color w:val="000000"/>
              </w:rPr>
            </w:pPr>
            <w:r w:rsidRPr="00A51E85">
              <w:rPr>
                <w:rFonts w:ascii="Cambria" w:eastAsia="Times New Roman" w:hAnsi="Cambria" w:cs="Times New Roman"/>
                <w:color w:val="000000"/>
              </w:rPr>
              <w:t> </w:t>
            </w:r>
          </w:p>
        </w:tc>
        <w:tc>
          <w:tcPr>
            <w:tcW w:w="438" w:type="dxa"/>
            <w:tcBorders>
              <w:top w:val="nil"/>
              <w:left w:val="nil"/>
              <w:bottom w:val="nil"/>
              <w:right w:val="single" w:sz="4" w:space="0" w:color="auto"/>
            </w:tcBorders>
            <w:shd w:val="clear" w:color="000000" w:fill="FFFFFF"/>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04</w:t>
            </w:r>
          </w:p>
        </w:tc>
        <w:tc>
          <w:tcPr>
            <w:tcW w:w="1991" w:type="dxa"/>
            <w:tcBorders>
              <w:top w:val="nil"/>
              <w:left w:val="nil"/>
              <w:bottom w:val="nil"/>
              <w:right w:val="single" w:sz="8"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Domestic Gas Sales</w:t>
            </w:r>
          </w:p>
        </w:tc>
        <w:tc>
          <w:tcPr>
            <w:tcW w:w="1275" w:type="dxa"/>
            <w:tcBorders>
              <w:top w:val="nil"/>
              <w:left w:val="nil"/>
              <w:bottom w:val="nil"/>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14,503 </w:t>
            </w:r>
          </w:p>
        </w:tc>
        <w:tc>
          <w:tcPr>
            <w:tcW w:w="1276" w:type="dxa"/>
            <w:tcBorders>
              <w:top w:val="nil"/>
              <w:left w:val="nil"/>
              <w:bottom w:val="nil"/>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19,005 </w:t>
            </w:r>
          </w:p>
        </w:tc>
        <w:tc>
          <w:tcPr>
            <w:tcW w:w="1134" w:type="dxa"/>
            <w:tcBorders>
              <w:top w:val="nil"/>
              <w:left w:val="nil"/>
              <w:bottom w:val="nil"/>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19,072 </w:t>
            </w:r>
          </w:p>
        </w:tc>
        <w:tc>
          <w:tcPr>
            <w:tcW w:w="1138" w:type="dxa"/>
            <w:tcBorders>
              <w:top w:val="nil"/>
              <w:left w:val="nil"/>
              <w:bottom w:val="nil"/>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30,613 </w:t>
            </w:r>
          </w:p>
        </w:tc>
        <w:tc>
          <w:tcPr>
            <w:tcW w:w="1138" w:type="dxa"/>
            <w:tcBorders>
              <w:top w:val="nil"/>
              <w:left w:val="nil"/>
              <w:bottom w:val="nil"/>
              <w:right w:val="single" w:sz="4"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26,195 </w:t>
            </w:r>
          </w:p>
        </w:tc>
        <w:tc>
          <w:tcPr>
            <w:tcW w:w="1138" w:type="dxa"/>
            <w:tcBorders>
              <w:top w:val="nil"/>
              <w:left w:val="nil"/>
              <w:bottom w:val="nil"/>
              <w:right w:val="single" w:sz="8"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sz w:val="20"/>
                <w:szCs w:val="20"/>
              </w:rPr>
            </w:pPr>
            <w:r w:rsidRPr="00A51E85">
              <w:rPr>
                <w:rFonts w:ascii="Cambria" w:eastAsia="Times New Roman" w:hAnsi="Cambria" w:cs="Times New Roman"/>
                <w:sz w:val="20"/>
                <w:szCs w:val="20"/>
              </w:rPr>
              <w:t xml:space="preserve">            49,314 </w:t>
            </w:r>
          </w:p>
        </w:tc>
        <w:tc>
          <w:tcPr>
            <w:tcW w:w="1122" w:type="dxa"/>
            <w:tcBorders>
              <w:top w:val="nil"/>
              <w:left w:val="nil"/>
              <w:bottom w:val="nil"/>
              <w:right w:val="single" w:sz="8" w:space="0" w:color="auto"/>
            </w:tcBorders>
            <w:shd w:val="clear" w:color="000000" w:fill="F2F2F2"/>
            <w:noWrap/>
            <w:vAlign w:val="center"/>
            <w:hideMark/>
          </w:tcPr>
          <w:p w:rsidR="00A51E85" w:rsidRPr="00A51E85" w:rsidRDefault="00A51E85" w:rsidP="00A51E85">
            <w:pPr>
              <w:spacing w:after="0" w:line="240" w:lineRule="auto"/>
              <w:jc w:val="center"/>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1%</w:t>
            </w:r>
          </w:p>
        </w:tc>
        <w:tc>
          <w:tcPr>
            <w:tcW w:w="904" w:type="dxa"/>
            <w:tcBorders>
              <w:top w:val="nil"/>
              <w:left w:val="nil"/>
              <w:bottom w:val="nil"/>
              <w:right w:val="single" w:sz="8"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28%</w:t>
            </w:r>
          </w:p>
        </w:tc>
      </w:tr>
      <w:tr w:rsidR="00A51E85" w:rsidRPr="00A51E85" w:rsidTr="00A51E85">
        <w:trPr>
          <w:trHeight w:val="300"/>
        </w:trPr>
        <w:tc>
          <w:tcPr>
            <w:tcW w:w="426" w:type="dxa"/>
            <w:tcBorders>
              <w:top w:val="nil"/>
              <w:left w:val="single" w:sz="8" w:space="0" w:color="auto"/>
              <w:bottom w:val="single" w:sz="8" w:space="0" w:color="auto"/>
              <w:right w:val="nil"/>
            </w:tcBorders>
            <w:shd w:val="clear" w:color="000000" w:fill="93CDDD"/>
            <w:noWrap/>
            <w:vAlign w:val="center"/>
            <w:hideMark/>
          </w:tcPr>
          <w:p w:rsidR="00A51E85" w:rsidRPr="00A51E85" w:rsidRDefault="00A51E85" w:rsidP="00A51E85">
            <w:pPr>
              <w:spacing w:after="0" w:line="240" w:lineRule="auto"/>
              <w:rPr>
                <w:rFonts w:ascii="Cambria" w:eastAsia="Times New Roman" w:hAnsi="Cambria" w:cs="Times New Roman"/>
                <w:color w:val="000000"/>
              </w:rPr>
            </w:pPr>
            <w:r w:rsidRPr="00A51E85">
              <w:rPr>
                <w:rFonts w:ascii="Cambria" w:eastAsia="Times New Roman" w:hAnsi="Cambria" w:cs="Times New Roman"/>
                <w:color w:val="000000"/>
              </w:rPr>
              <w:t> </w:t>
            </w:r>
          </w:p>
        </w:tc>
        <w:tc>
          <w:tcPr>
            <w:tcW w:w="438" w:type="dxa"/>
            <w:tcBorders>
              <w:top w:val="single" w:sz="8" w:space="0" w:color="auto"/>
              <w:left w:val="single" w:sz="8" w:space="0" w:color="auto"/>
              <w:bottom w:val="single" w:sz="8" w:space="0" w:color="auto"/>
              <w:right w:val="double" w:sz="6" w:space="0" w:color="auto"/>
            </w:tcBorders>
            <w:shd w:val="clear" w:color="000000" w:fill="000000"/>
            <w:noWrap/>
            <w:vAlign w:val="center"/>
            <w:hideMark/>
          </w:tcPr>
          <w:p w:rsidR="00A51E85" w:rsidRPr="00A51E85" w:rsidRDefault="00A51E85" w:rsidP="00A51E85">
            <w:pPr>
              <w:spacing w:after="0" w:line="240" w:lineRule="auto"/>
              <w:rPr>
                <w:rFonts w:ascii="Cambria" w:eastAsia="Times New Roman" w:hAnsi="Cambria" w:cs="Times New Roman"/>
                <w:color w:val="000000"/>
                <w:sz w:val="20"/>
                <w:szCs w:val="20"/>
              </w:rPr>
            </w:pPr>
            <w:r w:rsidRPr="00A51E85">
              <w:rPr>
                <w:rFonts w:ascii="Cambria" w:eastAsia="Times New Roman" w:hAnsi="Cambria" w:cs="Times New Roman"/>
                <w:color w:val="000000"/>
                <w:sz w:val="20"/>
                <w:szCs w:val="20"/>
              </w:rPr>
              <w:t> </w:t>
            </w:r>
          </w:p>
        </w:tc>
        <w:tc>
          <w:tcPr>
            <w:tcW w:w="1991" w:type="dxa"/>
            <w:tcBorders>
              <w:top w:val="single" w:sz="8" w:space="0" w:color="auto"/>
              <w:left w:val="nil"/>
              <w:bottom w:val="single" w:sz="8" w:space="0" w:color="auto"/>
              <w:right w:val="single" w:sz="8"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Total Gas Revenues</w:t>
            </w:r>
          </w:p>
        </w:tc>
        <w:tc>
          <w:tcPr>
            <w:tcW w:w="1275"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 xml:space="preserve">         14,503 </w:t>
            </w:r>
          </w:p>
        </w:tc>
        <w:tc>
          <w:tcPr>
            <w:tcW w:w="1276"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 xml:space="preserve">           19,005 </w:t>
            </w:r>
          </w:p>
        </w:tc>
        <w:tc>
          <w:tcPr>
            <w:tcW w:w="1134"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 xml:space="preserve">       19,568 </w:t>
            </w:r>
          </w:p>
        </w:tc>
        <w:tc>
          <w:tcPr>
            <w:tcW w:w="1138"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 xml:space="preserve">           51,880 </w:t>
            </w:r>
          </w:p>
        </w:tc>
        <w:tc>
          <w:tcPr>
            <w:tcW w:w="1138"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 xml:space="preserve">          64,670 </w:t>
            </w:r>
          </w:p>
        </w:tc>
        <w:tc>
          <w:tcPr>
            <w:tcW w:w="1138"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 xml:space="preserve">          83,456 </w:t>
            </w:r>
          </w:p>
        </w:tc>
        <w:tc>
          <w:tcPr>
            <w:tcW w:w="1122" w:type="dxa"/>
            <w:tcBorders>
              <w:top w:val="single" w:sz="8" w:space="0" w:color="auto"/>
              <w:left w:val="nil"/>
              <w:bottom w:val="single" w:sz="8" w:space="0" w:color="auto"/>
              <w:right w:val="double" w:sz="6"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2%</w:t>
            </w:r>
          </w:p>
        </w:tc>
        <w:tc>
          <w:tcPr>
            <w:tcW w:w="904" w:type="dxa"/>
            <w:tcBorders>
              <w:top w:val="single" w:sz="8" w:space="0" w:color="auto"/>
              <w:left w:val="nil"/>
              <w:bottom w:val="single" w:sz="8" w:space="0" w:color="auto"/>
              <w:right w:val="single" w:sz="8" w:space="0" w:color="auto"/>
            </w:tcBorders>
            <w:shd w:val="clear" w:color="auto" w:fill="auto"/>
            <w:noWrap/>
            <w:vAlign w:val="center"/>
            <w:hideMark/>
          </w:tcPr>
          <w:p w:rsidR="00A51E85" w:rsidRPr="00A51E85" w:rsidRDefault="00A51E85" w:rsidP="00A51E85">
            <w:pPr>
              <w:spacing w:after="0" w:line="240" w:lineRule="auto"/>
              <w:jc w:val="center"/>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42%</w:t>
            </w:r>
          </w:p>
        </w:tc>
      </w:tr>
      <w:tr w:rsidR="00A51E85" w:rsidRPr="00A51E85" w:rsidTr="00A51E85">
        <w:trPr>
          <w:trHeight w:val="285"/>
        </w:trPr>
        <w:tc>
          <w:tcPr>
            <w:tcW w:w="11980" w:type="dxa"/>
            <w:gridSpan w:val="11"/>
            <w:tcBorders>
              <w:top w:val="nil"/>
              <w:left w:val="nil"/>
              <w:bottom w:val="nil"/>
              <w:right w:val="nil"/>
            </w:tcBorders>
            <w:shd w:val="clear" w:color="auto" w:fill="auto"/>
            <w:noWrap/>
            <w:vAlign w:val="center"/>
            <w:hideMark/>
          </w:tcPr>
          <w:p w:rsidR="00A51E85" w:rsidRPr="00A51E85" w:rsidRDefault="00A51E85" w:rsidP="00A51E85">
            <w:pPr>
              <w:spacing w:after="0" w:line="240" w:lineRule="auto"/>
              <w:rPr>
                <w:rFonts w:ascii="Cambria" w:eastAsia="Times New Roman" w:hAnsi="Cambria" w:cs="Times New Roman"/>
                <w:b/>
                <w:bCs/>
                <w:color w:val="000000"/>
                <w:sz w:val="20"/>
                <w:szCs w:val="20"/>
              </w:rPr>
            </w:pPr>
            <w:r w:rsidRPr="00A51E85">
              <w:rPr>
                <w:rFonts w:ascii="Cambria" w:eastAsia="Times New Roman" w:hAnsi="Cambria" w:cs="Times New Roman"/>
                <w:b/>
                <w:bCs/>
                <w:color w:val="000000"/>
                <w:sz w:val="20"/>
                <w:szCs w:val="20"/>
              </w:rPr>
              <w:t>(*) Gas Exports growth rate is based on 2010 to 2012</w:t>
            </w:r>
          </w:p>
        </w:tc>
      </w:tr>
    </w:tbl>
    <w:p w:rsidR="00A51E85" w:rsidRDefault="00A51E85" w:rsidP="00200ED2">
      <w:pPr>
        <w:spacing w:line="480" w:lineRule="auto"/>
        <w:rPr>
          <w:rFonts w:asciiTheme="majorHAnsi" w:hAnsiTheme="majorHAnsi" w:cstheme="majorBidi"/>
          <w:sz w:val="24"/>
          <w:szCs w:val="24"/>
        </w:rPr>
      </w:pPr>
    </w:p>
    <w:p w:rsidR="003A49DA" w:rsidRDefault="00916E83" w:rsidP="00425AEC">
      <w:pPr>
        <w:spacing w:line="480" w:lineRule="auto"/>
        <w:ind w:firstLine="709"/>
        <w:rPr>
          <w:rFonts w:asciiTheme="majorHAnsi" w:hAnsiTheme="majorHAnsi" w:cstheme="majorBidi"/>
          <w:sz w:val="24"/>
          <w:szCs w:val="24"/>
        </w:rPr>
      </w:pPr>
      <w:r>
        <w:rPr>
          <w:rFonts w:asciiTheme="majorHAnsi" w:hAnsiTheme="majorHAnsi" w:cstheme="majorBidi"/>
          <w:sz w:val="24"/>
          <w:szCs w:val="24"/>
        </w:rPr>
        <w:lastRenderedPageBreak/>
        <w:t xml:space="preserve">As of 2012, oil </w:t>
      </w:r>
      <w:r w:rsidR="002C6E63">
        <w:rPr>
          <w:rFonts w:asciiTheme="majorHAnsi" w:hAnsiTheme="majorHAnsi" w:cstheme="majorBidi"/>
          <w:sz w:val="24"/>
          <w:szCs w:val="24"/>
        </w:rPr>
        <w:t xml:space="preserve">and gas </w:t>
      </w:r>
      <w:r>
        <w:rPr>
          <w:rFonts w:asciiTheme="majorHAnsi" w:hAnsiTheme="majorHAnsi" w:cstheme="majorBidi"/>
          <w:sz w:val="24"/>
          <w:szCs w:val="24"/>
        </w:rPr>
        <w:t xml:space="preserve">revenues were $5 billion in which oil exports were </w:t>
      </w:r>
      <w:r w:rsidR="0042016F">
        <w:rPr>
          <w:rFonts w:asciiTheme="majorHAnsi" w:hAnsiTheme="majorHAnsi" w:cstheme="majorBidi"/>
          <w:sz w:val="24"/>
          <w:szCs w:val="24"/>
        </w:rPr>
        <w:t>$3.57 billion</w:t>
      </w:r>
      <w:r w:rsidR="0053151A">
        <w:rPr>
          <w:rFonts w:asciiTheme="majorHAnsi" w:hAnsiTheme="majorHAnsi" w:cstheme="majorBidi"/>
          <w:sz w:val="24"/>
          <w:szCs w:val="24"/>
        </w:rPr>
        <w:t xml:space="preserve"> and domestic oil revenues were $1.13 billion</w:t>
      </w:r>
      <w:r w:rsidR="00622CE8">
        <w:rPr>
          <w:rFonts w:asciiTheme="majorHAnsi" w:hAnsiTheme="majorHAnsi" w:cstheme="majorBidi"/>
          <w:sz w:val="24"/>
          <w:szCs w:val="24"/>
        </w:rPr>
        <w:t xml:space="preserve"> (at exchange rate of 214.35 to US$)</w:t>
      </w:r>
      <w:r w:rsidR="00200ED2">
        <w:rPr>
          <w:rFonts w:asciiTheme="majorHAnsi" w:hAnsiTheme="majorHAnsi" w:cstheme="majorBidi"/>
          <w:sz w:val="24"/>
          <w:szCs w:val="24"/>
        </w:rPr>
        <w:t>. Oil Revenues have</w:t>
      </w:r>
      <w:r w:rsidR="0042016F">
        <w:rPr>
          <w:rFonts w:asciiTheme="majorHAnsi" w:hAnsiTheme="majorHAnsi" w:cstheme="majorBidi"/>
          <w:sz w:val="24"/>
          <w:szCs w:val="24"/>
        </w:rPr>
        <w:t xml:space="preserve"> a </w:t>
      </w:r>
      <w:r w:rsidR="00200ED2">
        <w:rPr>
          <w:rFonts w:asciiTheme="majorHAnsi" w:hAnsiTheme="majorHAnsi" w:cstheme="majorBidi"/>
          <w:sz w:val="24"/>
          <w:szCs w:val="24"/>
        </w:rPr>
        <w:t xml:space="preserve">5-year </w:t>
      </w:r>
      <w:r w:rsidR="0042016F">
        <w:rPr>
          <w:rFonts w:asciiTheme="majorHAnsi" w:hAnsiTheme="majorHAnsi" w:cstheme="majorBidi"/>
          <w:sz w:val="24"/>
          <w:szCs w:val="24"/>
        </w:rPr>
        <w:t xml:space="preserve">growth rate of </w:t>
      </w:r>
      <w:r w:rsidR="00200ED2">
        <w:rPr>
          <w:rFonts w:asciiTheme="majorHAnsi" w:hAnsiTheme="majorHAnsi" w:cstheme="majorBidi"/>
          <w:sz w:val="24"/>
          <w:szCs w:val="24"/>
        </w:rPr>
        <w:t>1.5</w:t>
      </w:r>
      <w:r w:rsidR="0042016F">
        <w:rPr>
          <w:rFonts w:asciiTheme="majorHAnsi" w:hAnsiTheme="majorHAnsi" w:cstheme="majorBidi"/>
          <w:sz w:val="24"/>
          <w:szCs w:val="24"/>
        </w:rPr>
        <w:t>%</w:t>
      </w:r>
      <w:r w:rsidR="0039719C">
        <w:rPr>
          <w:rFonts w:asciiTheme="majorHAnsi" w:hAnsiTheme="majorHAnsi" w:cstheme="majorBidi"/>
          <w:sz w:val="24"/>
          <w:szCs w:val="24"/>
        </w:rPr>
        <w:t xml:space="preserve"> while Gas revenues ha</w:t>
      </w:r>
      <w:r w:rsidR="00200ED2">
        <w:rPr>
          <w:rFonts w:asciiTheme="majorHAnsi" w:hAnsiTheme="majorHAnsi" w:cstheme="majorBidi"/>
          <w:sz w:val="24"/>
          <w:szCs w:val="24"/>
        </w:rPr>
        <w:t>ve</w:t>
      </w:r>
      <w:r w:rsidR="0039719C">
        <w:rPr>
          <w:rFonts w:asciiTheme="majorHAnsi" w:hAnsiTheme="majorHAnsi" w:cstheme="majorBidi"/>
          <w:sz w:val="24"/>
          <w:szCs w:val="24"/>
        </w:rPr>
        <w:t xml:space="preserve"> a growth rate of </w:t>
      </w:r>
      <w:r w:rsidR="00D9265D">
        <w:rPr>
          <w:rFonts w:asciiTheme="majorHAnsi" w:hAnsiTheme="majorHAnsi" w:cstheme="majorBidi"/>
          <w:sz w:val="24"/>
          <w:szCs w:val="24"/>
        </w:rPr>
        <w:t>42</w:t>
      </w:r>
      <w:r w:rsidR="0039719C">
        <w:rPr>
          <w:rFonts w:asciiTheme="majorHAnsi" w:hAnsiTheme="majorHAnsi" w:cstheme="majorBidi"/>
          <w:sz w:val="24"/>
          <w:szCs w:val="24"/>
        </w:rPr>
        <w:t>%.</w:t>
      </w:r>
      <w:r w:rsidR="00200ED2">
        <w:rPr>
          <w:rFonts w:asciiTheme="majorHAnsi" w:hAnsiTheme="majorHAnsi" w:cstheme="majorBidi"/>
          <w:sz w:val="24"/>
          <w:szCs w:val="24"/>
        </w:rPr>
        <w:t xml:space="preserve">  </w:t>
      </w:r>
      <w:r w:rsidR="00482989">
        <w:rPr>
          <w:rFonts w:asciiTheme="majorHAnsi" w:hAnsiTheme="majorHAnsi" w:cstheme="majorBidi"/>
          <w:sz w:val="24"/>
          <w:szCs w:val="24"/>
        </w:rPr>
        <w:t xml:space="preserve">The 1.5% average growth rate in Oil revenues was due to a sharp decline in Exported Crude Oil in 2009 </w:t>
      </w:r>
      <w:r w:rsidR="00C22D65">
        <w:rPr>
          <w:rFonts w:asciiTheme="majorHAnsi" w:hAnsiTheme="majorHAnsi" w:cstheme="majorBidi"/>
          <w:sz w:val="24"/>
          <w:szCs w:val="24"/>
        </w:rPr>
        <w:t xml:space="preserve">because of the 36% decline in </w:t>
      </w:r>
      <w:r w:rsidR="00425AEC">
        <w:rPr>
          <w:rFonts w:asciiTheme="majorHAnsi" w:hAnsiTheme="majorHAnsi" w:cstheme="majorBidi"/>
          <w:sz w:val="24"/>
          <w:szCs w:val="24"/>
        </w:rPr>
        <w:t xml:space="preserve">the </w:t>
      </w:r>
      <w:r w:rsidR="00C22D65">
        <w:rPr>
          <w:rFonts w:asciiTheme="majorHAnsi" w:hAnsiTheme="majorHAnsi" w:cstheme="majorBidi"/>
          <w:sz w:val="24"/>
          <w:szCs w:val="24"/>
        </w:rPr>
        <w:t>international prices</w:t>
      </w:r>
      <w:r w:rsidR="00425AEC" w:rsidRPr="00425AEC">
        <w:rPr>
          <w:rFonts w:asciiTheme="majorHAnsi" w:hAnsiTheme="majorHAnsi" w:cstheme="majorBidi"/>
          <w:sz w:val="24"/>
          <w:szCs w:val="24"/>
        </w:rPr>
        <w:t xml:space="preserve"> </w:t>
      </w:r>
      <w:r w:rsidR="00425AEC">
        <w:rPr>
          <w:rFonts w:asciiTheme="majorHAnsi" w:hAnsiTheme="majorHAnsi" w:cstheme="majorBidi"/>
          <w:sz w:val="24"/>
          <w:szCs w:val="24"/>
        </w:rPr>
        <w:t xml:space="preserve">of crude oil in that year.  Another factor contributing to the low growth rate of Oil revenues is the declines in </w:t>
      </w:r>
      <w:r w:rsidR="00482989">
        <w:rPr>
          <w:rFonts w:asciiTheme="majorHAnsi" w:hAnsiTheme="majorHAnsi" w:cstheme="majorBidi"/>
          <w:sz w:val="24"/>
          <w:szCs w:val="24"/>
        </w:rPr>
        <w:t>Domestic Oil revenues</w:t>
      </w:r>
      <w:r w:rsidR="00C22D65">
        <w:rPr>
          <w:rFonts w:asciiTheme="majorHAnsi" w:hAnsiTheme="majorHAnsi" w:cstheme="majorBidi"/>
          <w:sz w:val="24"/>
          <w:szCs w:val="24"/>
        </w:rPr>
        <w:t xml:space="preserve">.  </w:t>
      </w:r>
      <w:r w:rsidR="00425AEC" w:rsidRPr="00057A67">
        <w:rPr>
          <w:rFonts w:asciiTheme="majorHAnsi" w:hAnsiTheme="majorHAnsi"/>
          <w:sz w:val="24"/>
          <w:szCs w:val="24"/>
        </w:rPr>
        <w:t>The events of 2011 affected the consumptions of structure, namely the repeated sabotage of  the Marib Ras Issa pipelines, the roadblocks.  The total consumption declined by16% in 2011 relative to 2010, with the largest decline in Diesel of close to 20%. Gasoline consumption on the other hand declined by 12%.</w:t>
      </w:r>
    </w:p>
    <w:p w:rsidR="0039719C" w:rsidRPr="00097638" w:rsidRDefault="00602680" w:rsidP="009B50B6">
      <w:pPr>
        <w:rPr>
          <w:rFonts w:asciiTheme="majorHAnsi" w:hAnsiTheme="majorHAnsi" w:cstheme="majorBidi"/>
          <w:sz w:val="24"/>
          <w:szCs w:val="24"/>
        </w:rPr>
      </w:pPr>
      <w:r w:rsidRPr="00602680">
        <w:rPr>
          <w:rFonts w:asciiTheme="majorHAnsi" w:hAnsiTheme="majorHAnsi" w:cstheme="majorBidi"/>
          <w:noProof/>
          <w:sz w:val="24"/>
          <w:szCs w:val="24"/>
        </w:rPr>
        <w:drawing>
          <wp:inline distT="0" distB="0" distL="0" distR="0">
            <wp:extent cx="5943600" cy="3479800"/>
            <wp:effectExtent l="19050" t="0" r="1905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5AEC" w:rsidRPr="000D350C" w:rsidRDefault="003C1FDD" w:rsidP="00425AEC">
      <w:pPr>
        <w:autoSpaceDE w:val="0"/>
        <w:autoSpaceDN w:val="0"/>
        <w:adjustRightInd w:val="0"/>
        <w:spacing w:after="0" w:line="480" w:lineRule="auto"/>
        <w:ind w:firstLine="709"/>
        <w:rPr>
          <w:rFonts w:asciiTheme="majorHAnsi" w:hAnsiTheme="majorHAnsi" w:cs="Times New Roman"/>
          <w:sz w:val="24"/>
          <w:szCs w:val="24"/>
        </w:rPr>
      </w:pPr>
      <w:r>
        <w:rPr>
          <w:rFonts w:asciiTheme="majorHAnsi" w:hAnsiTheme="majorHAnsi" w:cstheme="majorBidi"/>
          <w:sz w:val="24"/>
          <w:szCs w:val="24"/>
        </w:rPr>
        <w:t>All proceeds from the production, sales and consumptions of oil products are controlled centrally by the central authority.</w:t>
      </w:r>
      <w:r w:rsidR="00D408F8">
        <w:rPr>
          <w:rFonts w:asciiTheme="majorHAnsi" w:hAnsiTheme="majorHAnsi" w:cstheme="majorBidi"/>
          <w:sz w:val="24"/>
          <w:szCs w:val="24"/>
        </w:rPr>
        <w:t xml:space="preserve"> </w:t>
      </w:r>
      <w:r w:rsidR="00425AEC" w:rsidRPr="000D350C">
        <w:rPr>
          <w:rFonts w:asciiTheme="majorHAnsi" w:hAnsiTheme="majorHAnsi" w:cs="Times New Roman"/>
          <w:sz w:val="24"/>
          <w:szCs w:val="24"/>
        </w:rPr>
        <w:t>Yemen oil &amp; Gas corp. (YOGC) assumes the authority and the management of the following activities and government units:</w:t>
      </w:r>
    </w:p>
    <w:p w:rsidR="00425AEC" w:rsidRPr="000D350C" w:rsidRDefault="00425AEC" w:rsidP="00425AEC">
      <w:pPr>
        <w:pStyle w:val="ListParagraph"/>
        <w:numPr>
          <w:ilvl w:val="0"/>
          <w:numId w:val="23"/>
        </w:numPr>
        <w:autoSpaceDE w:val="0"/>
        <w:autoSpaceDN w:val="0"/>
        <w:adjustRightInd w:val="0"/>
        <w:spacing w:after="0" w:line="480" w:lineRule="auto"/>
        <w:ind w:left="993" w:hanging="426"/>
        <w:rPr>
          <w:rFonts w:asciiTheme="majorHAnsi" w:hAnsiTheme="majorHAnsi" w:cs="Times New Roman"/>
          <w:sz w:val="24"/>
          <w:szCs w:val="24"/>
        </w:rPr>
      </w:pPr>
      <w:r w:rsidRPr="000D350C">
        <w:rPr>
          <w:rFonts w:asciiTheme="majorHAnsi" w:hAnsiTheme="majorHAnsi" w:cs="Times New Roman"/>
          <w:sz w:val="24"/>
          <w:szCs w:val="24"/>
        </w:rPr>
        <w:lastRenderedPageBreak/>
        <w:t>Supervision of the technical and financial control over the following subsidiary companies:</w:t>
      </w:r>
    </w:p>
    <w:p w:rsidR="00425AEC" w:rsidRPr="000D350C" w:rsidRDefault="00425AEC" w:rsidP="00425AEC">
      <w:pPr>
        <w:pStyle w:val="ListParagraph"/>
        <w:numPr>
          <w:ilvl w:val="1"/>
          <w:numId w:val="23"/>
        </w:numPr>
        <w:autoSpaceDE w:val="0"/>
        <w:autoSpaceDN w:val="0"/>
        <w:adjustRightInd w:val="0"/>
        <w:spacing w:after="0" w:line="480" w:lineRule="auto"/>
        <w:ind w:firstLine="709"/>
        <w:rPr>
          <w:rFonts w:asciiTheme="majorHAnsi" w:hAnsiTheme="majorHAnsi" w:cs="Times New Roman"/>
          <w:sz w:val="24"/>
          <w:szCs w:val="24"/>
        </w:rPr>
      </w:pPr>
      <w:r w:rsidRPr="000D350C">
        <w:rPr>
          <w:rFonts w:asciiTheme="majorHAnsi" w:hAnsiTheme="majorHAnsi" w:cs="Times New Roman"/>
          <w:sz w:val="24"/>
          <w:szCs w:val="24"/>
        </w:rPr>
        <w:t>Aden Refinery Company (ARC)</w:t>
      </w:r>
    </w:p>
    <w:p w:rsidR="00425AEC" w:rsidRPr="000D350C" w:rsidRDefault="00425AEC" w:rsidP="00425AEC">
      <w:pPr>
        <w:pStyle w:val="ListParagraph"/>
        <w:numPr>
          <w:ilvl w:val="1"/>
          <w:numId w:val="23"/>
        </w:numPr>
        <w:autoSpaceDE w:val="0"/>
        <w:autoSpaceDN w:val="0"/>
        <w:adjustRightInd w:val="0"/>
        <w:spacing w:after="0" w:line="480" w:lineRule="auto"/>
        <w:ind w:firstLine="709"/>
        <w:rPr>
          <w:rFonts w:asciiTheme="majorHAnsi" w:hAnsiTheme="majorHAnsi" w:cs="Times New Roman"/>
          <w:sz w:val="24"/>
          <w:szCs w:val="24"/>
        </w:rPr>
      </w:pPr>
      <w:r w:rsidRPr="000D350C">
        <w:rPr>
          <w:rFonts w:asciiTheme="majorHAnsi" w:hAnsiTheme="majorHAnsi" w:cs="Times New Roman"/>
          <w:sz w:val="24"/>
          <w:szCs w:val="24"/>
        </w:rPr>
        <w:t>Fuel Products Distribution Company (YPC)</w:t>
      </w:r>
    </w:p>
    <w:p w:rsidR="00425AEC" w:rsidRPr="000D350C" w:rsidRDefault="00425AEC" w:rsidP="00425AEC">
      <w:pPr>
        <w:pStyle w:val="ListParagraph"/>
        <w:numPr>
          <w:ilvl w:val="1"/>
          <w:numId w:val="23"/>
        </w:numPr>
        <w:autoSpaceDE w:val="0"/>
        <w:autoSpaceDN w:val="0"/>
        <w:adjustRightInd w:val="0"/>
        <w:spacing w:after="0" w:line="480" w:lineRule="auto"/>
        <w:ind w:firstLine="709"/>
        <w:rPr>
          <w:rFonts w:asciiTheme="majorHAnsi" w:hAnsiTheme="majorHAnsi" w:cs="Times New Roman"/>
          <w:sz w:val="24"/>
          <w:szCs w:val="24"/>
        </w:rPr>
      </w:pPr>
      <w:r w:rsidRPr="000D350C">
        <w:rPr>
          <w:rFonts w:asciiTheme="majorHAnsi" w:hAnsiTheme="majorHAnsi" w:cs="Times New Roman"/>
          <w:sz w:val="24"/>
          <w:szCs w:val="24"/>
        </w:rPr>
        <w:t>Yemen Gas Company (YGC)</w:t>
      </w:r>
    </w:p>
    <w:p w:rsidR="00425AEC" w:rsidRPr="000D350C" w:rsidRDefault="00425AEC" w:rsidP="00425AEC">
      <w:pPr>
        <w:pStyle w:val="ListParagraph"/>
        <w:numPr>
          <w:ilvl w:val="1"/>
          <w:numId w:val="23"/>
        </w:numPr>
        <w:autoSpaceDE w:val="0"/>
        <w:autoSpaceDN w:val="0"/>
        <w:adjustRightInd w:val="0"/>
        <w:spacing w:after="0" w:line="480" w:lineRule="auto"/>
        <w:ind w:firstLine="709"/>
        <w:rPr>
          <w:rFonts w:asciiTheme="majorHAnsi" w:hAnsiTheme="majorHAnsi" w:cs="Times New Roman"/>
          <w:sz w:val="24"/>
          <w:szCs w:val="24"/>
        </w:rPr>
      </w:pPr>
      <w:r w:rsidRPr="000D350C">
        <w:rPr>
          <w:rFonts w:asciiTheme="majorHAnsi" w:hAnsiTheme="majorHAnsi" w:cs="Times New Roman"/>
          <w:sz w:val="24"/>
          <w:szCs w:val="24"/>
        </w:rPr>
        <w:t>Yemen Investment Company for Oil and Minerals (YICOM)</w:t>
      </w:r>
    </w:p>
    <w:p w:rsidR="00425AEC" w:rsidRPr="000D350C" w:rsidRDefault="00425AEC" w:rsidP="00425AEC">
      <w:pPr>
        <w:pStyle w:val="ListParagraph"/>
        <w:numPr>
          <w:ilvl w:val="1"/>
          <w:numId w:val="23"/>
        </w:numPr>
        <w:autoSpaceDE w:val="0"/>
        <w:autoSpaceDN w:val="0"/>
        <w:adjustRightInd w:val="0"/>
        <w:spacing w:after="0" w:line="480" w:lineRule="auto"/>
        <w:ind w:firstLine="709"/>
        <w:rPr>
          <w:rFonts w:asciiTheme="majorHAnsi" w:hAnsiTheme="majorHAnsi" w:cs="Times New Roman"/>
          <w:sz w:val="24"/>
          <w:szCs w:val="24"/>
        </w:rPr>
      </w:pPr>
      <w:r w:rsidRPr="000D350C">
        <w:rPr>
          <w:rFonts w:asciiTheme="majorHAnsi" w:hAnsiTheme="majorHAnsi" w:cs="Times New Roman"/>
          <w:sz w:val="24"/>
          <w:szCs w:val="24"/>
        </w:rPr>
        <w:t>Mareb Oil Refinery Company (MRC)</w:t>
      </w:r>
    </w:p>
    <w:p w:rsidR="00425AEC" w:rsidRPr="000D350C" w:rsidRDefault="00425AEC" w:rsidP="00425AEC">
      <w:pPr>
        <w:pStyle w:val="ListParagraph"/>
        <w:numPr>
          <w:ilvl w:val="0"/>
          <w:numId w:val="23"/>
        </w:numPr>
        <w:autoSpaceDE w:val="0"/>
        <w:autoSpaceDN w:val="0"/>
        <w:adjustRightInd w:val="0"/>
        <w:spacing w:after="0" w:line="480" w:lineRule="auto"/>
        <w:ind w:left="993" w:hanging="426"/>
        <w:rPr>
          <w:rFonts w:asciiTheme="majorHAnsi" w:hAnsiTheme="majorHAnsi" w:cs="Times New Roman"/>
          <w:sz w:val="24"/>
          <w:szCs w:val="24"/>
        </w:rPr>
      </w:pPr>
      <w:r w:rsidRPr="000D350C">
        <w:rPr>
          <w:rFonts w:asciiTheme="majorHAnsi" w:hAnsiTheme="majorHAnsi" w:cs="Times New Roman"/>
          <w:sz w:val="24"/>
          <w:szCs w:val="24"/>
        </w:rPr>
        <w:t>Supplying the domestic marketing with oil products via YPC</w:t>
      </w:r>
    </w:p>
    <w:p w:rsidR="00425AEC" w:rsidRPr="000D350C" w:rsidRDefault="00425AEC" w:rsidP="00425AEC">
      <w:pPr>
        <w:pStyle w:val="ListParagraph"/>
        <w:numPr>
          <w:ilvl w:val="0"/>
          <w:numId w:val="23"/>
        </w:numPr>
        <w:autoSpaceDE w:val="0"/>
        <w:autoSpaceDN w:val="0"/>
        <w:adjustRightInd w:val="0"/>
        <w:spacing w:after="0" w:line="480" w:lineRule="auto"/>
        <w:ind w:left="993" w:hanging="426"/>
        <w:rPr>
          <w:rFonts w:asciiTheme="majorHAnsi" w:hAnsiTheme="majorHAnsi" w:cs="Times New Roman"/>
          <w:sz w:val="24"/>
          <w:szCs w:val="24"/>
        </w:rPr>
      </w:pPr>
      <w:r w:rsidRPr="000D350C">
        <w:rPr>
          <w:rFonts w:asciiTheme="majorHAnsi" w:hAnsiTheme="majorHAnsi" w:cs="Times New Roman"/>
          <w:sz w:val="24"/>
          <w:szCs w:val="24"/>
        </w:rPr>
        <w:t>Refining the Yemeni crude oil through ARC and MRC</w:t>
      </w:r>
    </w:p>
    <w:p w:rsidR="00425AEC" w:rsidRPr="000D350C" w:rsidRDefault="00425AEC" w:rsidP="00425AEC">
      <w:pPr>
        <w:pStyle w:val="ListParagraph"/>
        <w:numPr>
          <w:ilvl w:val="0"/>
          <w:numId w:val="23"/>
        </w:numPr>
        <w:spacing w:line="480" w:lineRule="auto"/>
        <w:ind w:left="993" w:hanging="426"/>
        <w:rPr>
          <w:rFonts w:asciiTheme="majorHAnsi" w:hAnsiTheme="majorHAnsi" w:cs="Times New Roman"/>
          <w:sz w:val="24"/>
          <w:szCs w:val="24"/>
        </w:rPr>
      </w:pPr>
      <w:r w:rsidRPr="000D350C">
        <w:rPr>
          <w:rFonts w:asciiTheme="majorHAnsi" w:hAnsiTheme="majorHAnsi" w:cs="Times New Roman"/>
          <w:sz w:val="24"/>
          <w:szCs w:val="24"/>
        </w:rPr>
        <w:t>Exporting Yemen's crude oil abroad through COMD</w:t>
      </w:r>
    </w:p>
    <w:p w:rsidR="00425AEC" w:rsidRPr="000D350C" w:rsidRDefault="00425AEC" w:rsidP="00425AEC">
      <w:pPr>
        <w:pStyle w:val="ListParagraph"/>
        <w:numPr>
          <w:ilvl w:val="0"/>
          <w:numId w:val="23"/>
        </w:numPr>
        <w:spacing w:line="480" w:lineRule="auto"/>
        <w:ind w:left="993" w:hanging="426"/>
        <w:rPr>
          <w:rFonts w:asciiTheme="majorHAnsi" w:hAnsiTheme="majorHAnsi"/>
          <w:sz w:val="24"/>
          <w:szCs w:val="24"/>
        </w:rPr>
      </w:pPr>
      <w:r w:rsidRPr="000D350C">
        <w:rPr>
          <w:rFonts w:asciiTheme="majorHAnsi" w:hAnsiTheme="majorHAnsi" w:cs="Times New Roman"/>
          <w:sz w:val="24"/>
          <w:szCs w:val="24"/>
        </w:rPr>
        <w:t>Participating in the oil exploration and production operation through its Oil Investment department</w:t>
      </w:r>
    </w:p>
    <w:p w:rsidR="003C1FDD" w:rsidRDefault="00D408F8" w:rsidP="00425AEC">
      <w:pPr>
        <w:spacing w:line="480" w:lineRule="auto"/>
        <w:ind w:firstLine="709"/>
        <w:rPr>
          <w:rFonts w:asciiTheme="majorHAnsi" w:hAnsiTheme="majorHAnsi" w:cstheme="majorBidi"/>
          <w:sz w:val="24"/>
          <w:szCs w:val="24"/>
        </w:rPr>
      </w:pPr>
      <w:r>
        <w:rPr>
          <w:rFonts w:asciiTheme="majorHAnsi" w:hAnsiTheme="majorHAnsi" w:cstheme="majorBidi"/>
          <w:sz w:val="24"/>
          <w:szCs w:val="24"/>
        </w:rPr>
        <w:t xml:space="preserve">YPC is a central unit which supervises the sales of fuel products domestically. YPC does not have data on fuel products consumption by governorates or by public sector because its filling stations serves multiple governorates for both private and public sector. </w:t>
      </w:r>
      <w:r w:rsidR="0042016F">
        <w:rPr>
          <w:rFonts w:asciiTheme="majorHAnsi" w:hAnsiTheme="majorHAnsi" w:cstheme="majorBidi"/>
          <w:sz w:val="24"/>
          <w:szCs w:val="24"/>
        </w:rPr>
        <w:t>Yemen's Petroleum Report includes all details related to the production, sales and consumption of oil products in Yemen.</w:t>
      </w:r>
    </w:p>
    <w:p w:rsidR="009B50B6" w:rsidRPr="00E723F7" w:rsidRDefault="00A461E5" w:rsidP="00E723F7">
      <w:pPr>
        <w:pStyle w:val="Heading4"/>
        <w:jc w:val="center"/>
        <w:rPr>
          <w:i w:val="0"/>
          <w:iCs w:val="0"/>
          <w:color w:val="000000" w:themeColor="text1"/>
          <w:lang w:bidi="ar-YE"/>
        </w:rPr>
      </w:pPr>
      <w:r w:rsidRPr="00E723F7">
        <w:rPr>
          <w:i w:val="0"/>
          <w:iCs w:val="0"/>
          <w:color w:val="000000" w:themeColor="text1"/>
          <w:lang w:bidi="ar-YE"/>
        </w:rPr>
        <w:t>External Financing</w:t>
      </w:r>
    </w:p>
    <w:p w:rsidR="00A461E5" w:rsidRDefault="00A461E5" w:rsidP="0053151A">
      <w:pPr>
        <w:spacing w:line="480" w:lineRule="auto"/>
        <w:ind w:firstLine="851"/>
        <w:rPr>
          <w:rFonts w:asciiTheme="majorBidi" w:hAnsiTheme="majorBidi" w:cstheme="majorBidi"/>
          <w:sz w:val="24"/>
          <w:szCs w:val="24"/>
        </w:rPr>
      </w:pPr>
      <w:r>
        <w:rPr>
          <w:rFonts w:asciiTheme="majorBidi" w:hAnsiTheme="majorBidi" w:cstheme="majorBidi"/>
          <w:sz w:val="24"/>
          <w:szCs w:val="24"/>
        </w:rPr>
        <w:t xml:space="preserve">Yemen has not been aid dependent </w:t>
      </w:r>
      <w:r w:rsidR="005F0C42">
        <w:rPr>
          <w:rFonts w:asciiTheme="majorBidi" w:hAnsiTheme="majorBidi" w:cstheme="majorBidi"/>
          <w:sz w:val="24"/>
          <w:szCs w:val="24"/>
        </w:rPr>
        <w:t>and</w:t>
      </w:r>
      <w:r>
        <w:rPr>
          <w:rFonts w:asciiTheme="majorBidi" w:hAnsiTheme="majorBidi" w:cstheme="majorBidi"/>
          <w:sz w:val="24"/>
          <w:szCs w:val="24"/>
        </w:rPr>
        <w:t xml:space="preserve"> aid has historically been less than </w:t>
      </w:r>
      <w:r w:rsidR="0053151A">
        <w:rPr>
          <w:rFonts w:asciiTheme="majorBidi" w:hAnsiTheme="majorBidi" w:cstheme="majorBidi"/>
          <w:sz w:val="24"/>
          <w:szCs w:val="24"/>
        </w:rPr>
        <w:t>1</w:t>
      </w:r>
      <w:r>
        <w:rPr>
          <w:rFonts w:asciiTheme="majorBidi" w:hAnsiTheme="majorBidi" w:cstheme="majorBidi"/>
          <w:sz w:val="24"/>
          <w:szCs w:val="24"/>
        </w:rPr>
        <w:t xml:space="preserve">% of GNP with </w:t>
      </w:r>
      <w:r w:rsidR="005F0C42">
        <w:rPr>
          <w:rFonts w:asciiTheme="majorBidi" w:hAnsiTheme="majorBidi" w:cstheme="majorBidi"/>
          <w:sz w:val="24"/>
          <w:szCs w:val="24"/>
        </w:rPr>
        <w:t xml:space="preserve">the </w:t>
      </w:r>
      <w:r>
        <w:rPr>
          <w:rFonts w:asciiTheme="majorBidi" w:hAnsiTheme="majorBidi" w:cstheme="majorBidi"/>
          <w:sz w:val="24"/>
          <w:szCs w:val="24"/>
        </w:rPr>
        <w:t xml:space="preserve">exception of </w:t>
      </w:r>
      <w:r w:rsidR="0053151A">
        <w:rPr>
          <w:rFonts w:asciiTheme="majorBidi" w:hAnsiTheme="majorBidi" w:cstheme="majorBidi"/>
          <w:sz w:val="24"/>
          <w:szCs w:val="24"/>
        </w:rPr>
        <w:t>the</w:t>
      </w:r>
      <w:r>
        <w:rPr>
          <w:rFonts w:asciiTheme="majorBidi" w:hAnsiTheme="majorBidi" w:cstheme="majorBidi"/>
          <w:sz w:val="24"/>
          <w:szCs w:val="24"/>
        </w:rPr>
        <w:t xml:space="preserve"> large grant of $3 billion, which Yemen received in 2012 from Saudi Arabia.</w:t>
      </w:r>
    </w:p>
    <w:tbl>
      <w:tblPr>
        <w:tblW w:w="10523" w:type="dxa"/>
        <w:tblInd w:w="-318" w:type="dxa"/>
        <w:tblLook w:val="04A0"/>
      </w:tblPr>
      <w:tblGrid>
        <w:gridCol w:w="2701"/>
        <w:gridCol w:w="1127"/>
        <w:gridCol w:w="1276"/>
        <w:gridCol w:w="1134"/>
        <w:gridCol w:w="1134"/>
        <w:gridCol w:w="1134"/>
        <w:gridCol w:w="1044"/>
        <w:gridCol w:w="973"/>
      </w:tblGrid>
      <w:tr w:rsidR="00A461E5" w:rsidRPr="00A461E5" w:rsidTr="0053151A">
        <w:trPr>
          <w:trHeight w:val="315"/>
        </w:trPr>
        <w:tc>
          <w:tcPr>
            <w:tcW w:w="2701" w:type="dxa"/>
            <w:tcBorders>
              <w:top w:val="nil"/>
              <w:left w:val="nil"/>
              <w:bottom w:val="nil"/>
              <w:right w:val="nil"/>
            </w:tcBorders>
            <w:shd w:val="clear" w:color="auto" w:fill="auto"/>
            <w:noWrap/>
            <w:vAlign w:val="bottom"/>
            <w:hideMark/>
          </w:tcPr>
          <w:p w:rsidR="00A461E5" w:rsidRPr="00A461E5" w:rsidRDefault="00A461E5" w:rsidP="00E723F7">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 xml:space="preserve">Table </w:t>
            </w:r>
            <w:r w:rsidR="0053151A">
              <w:rPr>
                <w:rFonts w:ascii="Cambria" w:eastAsia="Times New Roman" w:hAnsi="Cambria" w:cs="Times New Roman"/>
                <w:color w:val="000000"/>
              </w:rPr>
              <w:t>1</w:t>
            </w:r>
            <w:r w:rsidR="00E723F7">
              <w:rPr>
                <w:rFonts w:ascii="Cambria" w:eastAsia="Times New Roman" w:hAnsi="Cambria" w:cs="Times New Roman"/>
                <w:color w:val="000000"/>
              </w:rPr>
              <w:t>1</w:t>
            </w:r>
            <w:r w:rsidR="00D9739B">
              <w:rPr>
                <w:rFonts w:ascii="Cambria" w:eastAsia="Times New Roman" w:hAnsi="Cambria" w:cs="Times New Roman"/>
                <w:color w:val="000000"/>
              </w:rPr>
              <w:t>:</w:t>
            </w:r>
          </w:p>
        </w:tc>
        <w:tc>
          <w:tcPr>
            <w:tcW w:w="1127"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276"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13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13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13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04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973"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r>
      <w:tr w:rsidR="00A461E5" w:rsidRPr="00A461E5" w:rsidTr="0053151A">
        <w:trPr>
          <w:trHeight w:val="870"/>
        </w:trPr>
        <w:tc>
          <w:tcPr>
            <w:tcW w:w="2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sz w:val="18"/>
                <w:szCs w:val="18"/>
              </w:rPr>
            </w:pPr>
            <w:r w:rsidRPr="00A461E5">
              <w:rPr>
                <w:rFonts w:ascii="Cambria" w:eastAsia="Times New Roman" w:hAnsi="Cambria" w:cs="Times New Roman"/>
                <w:b/>
                <w:bCs/>
                <w:color w:val="000000"/>
                <w:sz w:val="18"/>
                <w:szCs w:val="18"/>
              </w:rPr>
              <w:lastRenderedPageBreak/>
              <w:t>In Millions</w:t>
            </w:r>
          </w:p>
        </w:tc>
        <w:tc>
          <w:tcPr>
            <w:tcW w:w="1127"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2007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2008</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2009</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2010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2011</w:t>
            </w:r>
          </w:p>
        </w:tc>
        <w:tc>
          <w:tcPr>
            <w:tcW w:w="1044" w:type="dxa"/>
            <w:tcBorders>
              <w:top w:val="single" w:sz="8" w:space="0" w:color="auto"/>
              <w:left w:val="nil"/>
              <w:bottom w:val="single" w:sz="8" w:space="0" w:color="auto"/>
              <w:right w:val="nil"/>
            </w:tcBorders>
            <w:shd w:val="clear" w:color="000000" w:fill="BFBFBF"/>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2012</w:t>
            </w:r>
          </w:p>
        </w:tc>
        <w:tc>
          <w:tcPr>
            <w:tcW w:w="9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4-year Growth Rate*</w:t>
            </w:r>
          </w:p>
        </w:tc>
      </w:tr>
      <w:tr w:rsidR="00A461E5" w:rsidRPr="00A461E5" w:rsidTr="0053151A">
        <w:trPr>
          <w:trHeight w:val="300"/>
        </w:trPr>
        <w:tc>
          <w:tcPr>
            <w:tcW w:w="2701" w:type="dxa"/>
            <w:tcBorders>
              <w:top w:val="nil"/>
              <w:left w:val="single" w:sz="8" w:space="0" w:color="auto"/>
              <w:bottom w:val="single" w:sz="4" w:space="0" w:color="auto"/>
              <w:right w:val="single" w:sz="8"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External Borrowing</w:t>
            </w:r>
          </w:p>
        </w:tc>
        <w:tc>
          <w:tcPr>
            <w:tcW w:w="1127" w:type="dxa"/>
            <w:tcBorders>
              <w:top w:val="nil"/>
              <w:left w:val="nil"/>
              <w:bottom w:val="single" w:sz="4" w:space="0" w:color="auto"/>
              <w:right w:val="single" w:sz="4"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 xml:space="preserve"> $       157 </w:t>
            </w:r>
          </w:p>
        </w:tc>
        <w:tc>
          <w:tcPr>
            <w:tcW w:w="1276" w:type="dxa"/>
            <w:tcBorders>
              <w:top w:val="nil"/>
              <w:left w:val="nil"/>
              <w:bottom w:val="single" w:sz="4" w:space="0" w:color="auto"/>
              <w:right w:val="single" w:sz="4"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 xml:space="preserve"> $       167 </w:t>
            </w:r>
          </w:p>
        </w:tc>
        <w:tc>
          <w:tcPr>
            <w:tcW w:w="1134" w:type="dxa"/>
            <w:tcBorders>
              <w:top w:val="nil"/>
              <w:left w:val="nil"/>
              <w:bottom w:val="single" w:sz="4" w:space="0" w:color="auto"/>
              <w:right w:val="single" w:sz="4"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 xml:space="preserve"> $       161 </w:t>
            </w:r>
          </w:p>
        </w:tc>
        <w:tc>
          <w:tcPr>
            <w:tcW w:w="1134" w:type="dxa"/>
            <w:tcBorders>
              <w:top w:val="nil"/>
              <w:left w:val="nil"/>
              <w:bottom w:val="single" w:sz="4" w:space="0" w:color="auto"/>
              <w:right w:val="single" w:sz="4"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 xml:space="preserve"> $       127 </w:t>
            </w:r>
          </w:p>
        </w:tc>
        <w:tc>
          <w:tcPr>
            <w:tcW w:w="1134" w:type="dxa"/>
            <w:tcBorders>
              <w:top w:val="nil"/>
              <w:left w:val="nil"/>
              <w:bottom w:val="single" w:sz="4" w:space="0" w:color="auto"/>
              <w:right w:val="single" w:sz="4"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 xml:space="preserve"> $         70 </w:t>
            </w:r>
          </w:p>
        </w:tc>
        <w:tc>
          <w:tcPr>
            <w:tcW w:w="1044" w:type="dxa"/>
            <w:tcBorders>
              <w:top w:val="nil"/>
              <w:left w:val="nil"/>
              <w:bottom w:val="single" w:sz="4" w:space="0" w:color="auto"/>
              <w:right w:val="nil"/>
            </w:tcBorders>
            <w:shd w:val="clear" w:color="000000" w:fill="BFBFBF"/>
            <w:noWrap/>
            <w:vAlign w:val="bottom"/>
            <w:hideMark/>
          </w:tcPr>
          <w:p w:rsidR="00A461E5" w:rsidRPr="00A461E5" w:rsidRDefault="00A461E5" w:rsidP="00A461E5">
            <w:pPr>
              <w:spacing w:after="0" w:line="240" w:lineRule="auto"/>
              <w:rPr>
                <w:rFonts w:ascii="Cambria" w:eastAsia="Times New Roman" w:hAnsi="Cambria" w:cs="Times New Roman"/>
                <w:b/>
                <w:bCs/>
                <w:color w:val="000000"/>
              </w:rPr>
            </w:pPr>
            <w:r w:rsidRPr="00A461E5">
              <w:rPr>
                <w:rFonts w:ascii="Cambria" w:eastAsia="Times New Roman" w:hAnsi="Cambria" w:cs="Times New Roman"/>
                <w:b/>
                <w:bCs/>
                <w:color w:val="000000"/>
              </w:rPr>
              <w:t xml:space="preserve"> $     412 </w:t>
            </w:r>
          </w:p>
        </w:tc>
        <w:tc>
          <w:tcPr>
            <w:tcW w:w="973" w:type="dxa"/>
            <w:tcBorders>
              <w:top w:val="nil"/>
              <w:left w:val="single" w:sz="8" w:space="0" w:color="auto"/>
              <w:bottom w:val="single" w:sz="4" w:space="0" w:color="auto"/>
              <w:right w:val="single" w:sz="8"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-18%</w:t>
            </w:r>
          </w:p>
        </w:tc>
      </w:tr>
      <w:tr w:rsidR="00A461E5" w:rsidRPr="00A461E5" w:rsidTr="0053151A">
        <w:trPr>
          <w:trHeight w:val="315"/>
        </w:trPr>
        <w:tc>
          <w:tcPr>
            <w:tcW w:w="2701" w:type="dxa"/>
            <w:tcBorders>
              <w:top w:val="nil"/>
              <w:left w:val="single" w:sz="8" w:space="0" w:color="auto"/>
              <w:bottom w:val="nil"/>
              <w:right w:val="single" w:sz="8"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Foreign Grants</w:t>
            </w:r>
          </w:p>
        </w:tc>
        <w:tc>
          <w:tcPr>
            <w:tcW w:w="1127" w:type="dxa"/>
            <w:tcBorders>
              <w:top w:val="nil"/>
              <w:left w:val="nil"/>
              <w:bottom w:val="nil"/>
              <w:right w:val="single" w:sz="4"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 xml:space="preserve"> $         74 </w:t>
            </w:r>
          </w:p>
        </w:tc>
        <w:tc>
          <w:tcPr>
            <w:tcW w:w="1276" w:type="dxa"/>
            <w:tcBorders>
              <w:top w:val="nil"/>
              <w:left w:val="nil"/>
              <w:bottom w:val="nil"/>
              <w:right w:val="single" w:sz="4"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 xml:space="preserve"> $         71 </w:t>
            </w:r>
          </w:p>
        </w:tc>
        <w:tc>
          <w:tcPr>
            <w:tcW w:w="1134" w:type="dxa"/>
            <w:tcBorders>
              <w:top w:val="nil"/>
              <w:left w:val="nil"/>
              <w:bottom w:val="nil"/>
              <w:right w:val="single" w:sz="4"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 xml:space="preserve"> $       136 </w:t>
            </w:r>
          </w:p>
        </w:tc>
        <w:tc>
          <w:tcPr>
            <w:tcW w:w="1134" w:type="dxa"/>
            <w:tcBorders>
              <w:top w:val="nil"/>
              <w:left w:val="nil"/>
              <w:bottom w:val="nil"/>
              <w:right w:val="single" w:sz="4"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 xml:space="preserve"> $       156 </w:t>
            </w:r>
          </w:p>
        </w:tc>
        <w:tc>
          <w:tcPr>
            <w:tcW w:w="1134" w:type="dxa"/>
            <w:tcBorders>
              <w:top w:val="nil"/>
              <w:left w:val="nil"/>
              <w:bottom w:val="nil"/>
              <w:right w:val="single" w:sz="4"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 xml:space="preserve"> $       170 </w:t>
            </w:r>
          </w:p>
        </w:tc>
        <w:tc>
          <w:tcPr>
            <w:tcW w:w="1044" w:type="dxa"/>
            <w:tcBorders>
              <w:top w:val="nil"/>
              <w:left w:val="nil"/>
              <w:bottom w:val="nil"/>
              <w:right w:val="nil"/>
            </w:tcBorders>
            <w:shd w:val="clear" w:color="000000" w:fill="BFBFBF"/>
            <w:noWrap/>
            <w:vAlign w:val="bottom"/>
            <w:hideMark/>
          </w:tcPr>
          <w:p w:rsidR="00A461E5" w:rsidRPr="00A461E5" w:rsidRDefault="00A461E5" w:rsidP="00A461E5">
            <w:pPr>
              <w:spacing w:after="0" w:line="240" w:lineRule="auto"/>
              <w:rPr>
                <w:rFonts w:ascii="Cambria" w:eastAsia="Times New Roman" w:hAnsi="Cambria" w:cs="Times New Roman"/>
                <w:b/>
                <w:bCs/>
                <w:color w:val="000000"/>
              </w:rPr>
            </w:pPr>
            <w:r w:rsidRPr="00A461E5">
              <w:rPr>
                <w:rFonts w:ascii="Cambria" w:eastAsia="Times New Roman" w:hAnsi="Cambria" w:cs="Times New Roman"/>
                <w:b/>
                <w:bCs/>
                <w:color w:val="000000"/>
              </w:rPr>
              <w:t xml:space="preserve"> $     980 </w:t>
            </w:r>
          </w:p>
        </w:tc>
        <w:tc>
          <w:tcPr>
            <w:tcW w:w="973" w:type="dxa"/>
            <w:tcBorders>
              <w:top w:val="nil"/>
              <w:left w:val="single" w:sz="8" w:space="0" w:color="auto"/>
              <w:bottom w:val="nil"/>
              <w:right w:val="single" w:sz="8"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23%</w:t>
            </w:r>
          </w:p>
        </w:tc>
      </w:tr>
      <w:tr w:rsidR="00A461E5" w:rsidRPr="00A461E5" w:rsidTr="0053151A">
        <w:trPr>
          <w:trHeight w:val="315"/>
        </w:trPr>
        <w:tc>
          <w:tcPr>
            <w:tcW w:w="2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Total External Financing</w:t>
            </w:r>
          </w:p>
        </w:tc>
        <w:tc>
          <w:tcPr>
            <w:tcW w:w="1127"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 xml:space="preserve"> $     231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 xml:space="preserve"> $     238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 xml:space="preserve"> $     297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 xml:space="preserve"> $     283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 xml:space="preserve"> $     240 </w:t>
            </w:r>
          </w:p>
        </w:tc>
        <w:tc>
          <w:tcPr>
            <w:tcW w:w="1044" w:type="dxa"/>
            <w:tcBorders>
              <w:top w:val="single" w:sz="8" w:space="0" w:color="auto"/>
              <w:left w:val="nil"/>
              <w:bottom w:val="single" w:sz="8" w:space="0" w:color="auto"/>
              <w:right w:val="nil"/>
            </w:tcBorders>
            <w:shd w:val="clear" w:color="000000" w:fill="BFBFBF"/>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 xml:space="preserve"> $ 1,392 </w:t>
            </w:r>
          </w:p>
        </w:tc>
        <w:tc>
          <w:tcPr>
            <w:tcW w:w="9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0.9%</w:t>
            </w:r>
          </w:p>
        </w:tc>
      </w:tr>
      <w:tr w:rsidR="00A461E5" w:rsidRPr="00A461E5" w:rsidTr="0053151A">
        <w:trPr>
          <w:trHeight w:val="300"/>
        </w:trPr>
        <w:tc>
          <w:tcPr>
            <w:tcW w:w="2701"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b/>
                <w:bCs/>
                <w:color w:val="000000"/>
                <w:sz w:val="18"/>
                <w:szCs w:val="18"/>
              </w:rPr>
            </w:pPr>
            <w:r w:rsidRPr="00A461E5">
              <w:rPr>
                <w:rFonts w:ascii="Cambria" w:eastAsia="Times New Roman" w:hAnsi="Cambria" w:cs="Times New Roman"/>
                <w:b/>
                <w:bCs/>
                <w:color w:val="000000"/>
                <w:sz w:val="18"/>
                <w:szCs w:val="18"/>
              </w:rPr>
              <w:t>*Excluding 2012</w:t>
            </w:r>
          </w:p>
        </w:tc>
        <w:tc>
          <w:tcPr>
            <w:tcW w:w="1127"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276"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13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13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13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04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973"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r>
      <w:tr w:rsidR="00A461E5" w:rsidRPr="00A461E5" w:rsidTr="0053151A">
        <w:trPr>
          <w:trHeight w:val="315"/>
        </w:trPr>
        <w:tc>
          <w:tcPr>
            <w:tcW w:w="2701"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127"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276"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13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13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13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1044"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c>
          <w:tcPr>
            <w:tcW w:w="973"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r>
      <w:tr w:rsidR="00A461E5" w:rsidRPr="00A461E5" w:rsidTr="0053151A">
        <w:trPr>
          <w:trHeight w:val="870"/>
        </w:trPr>
        <w:tc>
          <w:tcPr>
            <w:tcW w:w="2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 of GNP</w:t>
            </w:r>
          </w:p>
        </w:tc>
        <w:tc>
          <w:tcPr>
            <w:tcW w:w="1127"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2007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2008</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2009</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2010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2011</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4-Year Average</w:t>
            </w:r>
          </w:p>
        </w:tc>
        <w:tc>
          <w:tcPr>
            <w:tcW w:w="973"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r>
      <w:tr w:rsidR="00A461E5" w:rsidRPr="00A461E5" w:rsidTr="0053151A">
        <w:trPr>
          <w:trHeight w:val="300"/>
        </w:trPr>
        <w:tc>
          <w:tcPr>
            <w:tcW w:w="2701" w:type="dxa"/>
            <w:tcBorders>
              <w:top w:val="nil"/>
              <w:left w:val="single" w:sz="8" w:space="0" w:color="auto"/>
              <w:bottom w:val="single" w:sz="4" w:space="0" w:color="auto"/>
              <w:right w:val="single" w:sz="8"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External Borrowing</w:t>
            </w:r>
          </w:p>
        </w:tc>
        <w:tc>
          <w:tcPr>
            <w:tcW w:w="1127" w:type="dxa"/>
            <w:tcBorders>
              <w:top w:val="nil"/>
              <w:left w:val="nil"/>
              <w:bottom w:val="single" w:sz="4"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0.6%</w:t>
            </w:r>
          </w:p>
        </w:tc>
        <w:tc>
          <w:tcPr>
            <w:tcW w:w="1276" w:type="dxa"/>
            <w:tcBorders>
              <w:top w:val="nil"/>
              <w:left w:val="nil"/>
              <w:bottom w:val="single" w:sz="4"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0.6%</w:t>
            </w:r>
          </w:p>
        </w:tc>
        <w:tc>
          <w:tcPr>
            <w:tcW w:w="1134" w:type="dxa"/>
            <w:tcBorders>
              <w:top w:val="nil"/>
              <w:left w:val="nil"/>
              <w:bottom w:val="single" w:sz="4"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0.4%</w:t>
            </w:r>
          </w:p>
        </w:tc>
        <w:tc>
          <w:tcPr>
            <w:tcW w:w="1134" w:type="dxa"/>
            <w:tcBorders>
              <w:top w:val="nil"/>
              <w:left w:val="nil"/>
              <w:bottom w:val="single" w:sz="4"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0.3%</w:t>
            </w:r>
          </w:p>
        </w:tc>
        <w:tc>
          <w:tcPr>
            <w:tcW w:w="1044" w:type="dxa"/>
            <w:tcBorders>
              <w:top w:val="nil"/>
              <w:left w:val="nil"/>
              <w:bottom w:val="single" w:sz="4" w:space="0" w:color="auto"/>
              <w:right w:val="single" w:sz="8"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0.5%</w:t>
            </w:r>
          </w:p>
        </w:tc>
        <w:tc>
          <w:tcPr>
            <w:tcW w:w="973"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r>
      <w:tr w:rsidR="00A461E5" w:rsidRPr="00A461E5" w:rsidTr="0053151A">
        <w:trPr>
          <w:trHeight w:val="315"/>
        </w:trPr>
        <w:tc>
          <w:tcPr>
            <w:tcW w:w="2701" w:type="dxa"/>
            <w:tcBorders>
              <w:top w:val="nil"/>
              <w:left w:val="single" w:sz="8" w:space="0" w:color="auto"/>
              <w:bottom w:val="nil"/>
              <w:right w:val="single" w:sz="8"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r w:rsidRPr="00A461E5">
              <w:rPr>
                <w:rFonts w:ascii="Cambria" w:eastAsia="Times New Roman" w:hAnsi="Cambria" w:cs="Times New Roman"/>
                <w:color w:val="000000"/>
              </w:rPr>
              <w:t>Foreign Grants</w:t>
            </w:r>
          </w:p>
        </w:tc>
        <w:tc>
          <w:tcPr>
            <w:tcW w:w="1127" w:type="dxa"/>
            <w:tcBorders>
              <w:top w:val="nil"/>
              <w:left w:val="nil"/>
              <w:bottom w:val="nil"/>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0.3%</w:t>
            </w:r>
          </w:p>
        </w:tc>
        <w:tc>
          <w:tcPr>
            <w:tcW w:w="1276" w:type="dxa"/>
            <w:tcBorders>
              <w:top w:val="nil"/>
              <w:left w:val="nil"/>
              <w:bottom w:val="nil"/>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0.2%</w:t>
            </w:r>
          </w:p>
        </w:tc>
        <w:tc>
          <w:tcPr>
            <w:tcW w:w="1134" w:type="dxa"/>
            <w:tcBorders>
              <w:top w:val="nil"/>
              <w:left w:val="nil"/>
              <w:bottom w:val="nil"/>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0.5%</w:t>
            </w:r>
          </w:p>
        </w:tc>
        <w:tc>
          <w:tcPr>
            <w:tcW w:w="1134" w:type="dxa"/>
            <w:tcBorders>
              <w:top w:val="nil"/>
              <w:left w:val="nil"/>
              <w:bottom w:val="nil"/>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0.5%</w:t>
            </w:r>
          </w:p>
        </w:tc>
        <w:tc>
          <w:tcPr>
            <w:tcW w:w="1134" w:type="dxa"/>
            <w:tcBorders>
              <w:top w:val="nil"/>
              <w:left w:val="nil"/>
              <w:bottom w:val="nil"/>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0.6%</w:t>
            </w:r>
          </w:p>
        </w:tc>
        <w:tc>
          <w:tcPr>
            <w:tcW w:w="1044" w:type="dxa"/>
            <w:tcBorders>
              <w:top w:val="nil"/>
              <w:left w:val="nil"/>
              <w:bottom w:val="nil"/>
              <w:right w:val="single" w:sz="8"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color w:val="000000"/>
              </w:rPr>
            </w:pPr>
            <w:r w:rsidRPr="00A461E5">
              <w:rPr>
                <w:rFonts w:ascii="Cambria" w:eastAsia="Times New Roman" w:hAnsi="Cambria" w:cs="Times New Roman"/>
                <w:color w:val="000000"/>
              </w:rPr>
              <w:t>0.4%</w:t>
            </w:r>
          </w:p>
        </w:tc>
        <w:tc>
          <w:tcPr>
            <w:tcW w:w="973"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r>
      <w:tr w:rsidR="00A461E5" w:rsidRPr="00A461E5" w:rsidTr="0053151A">
        <w:trPr>
          <w:trHeight w:val="315"/>
        </w:trPr>
        <w:tc>
          <w:tcPr>
            <w:tcW w:w="2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b/>
                <w:bCs/>
                <w:color w:val="000000"/>
              </w:rPr>
            </w:pPr>
            <w:r w:rsidRPr="00A461E5">
              <w:rPr>
                <w:rFonts w:ascii="Cambria" w:eastAsia="Times New Roman" w:hAnsi="Cambria" w:cs="Times New Roman"/>
                <w:b/>
                <w:bCs/>
                <w:color w:val="000000"/>
              </w:rPr>
              <w:t>Total External Financing</w:t>
            </w:r>
          </w:p>
        </w:tc>
        <w:tc>
          <w:tcPr>
            <w:tcW w:w="1127"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0.9%</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0.8%</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1.1%</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1.0%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0.9%</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rsidR="00A461E5" w:rsidRPr="00A461E5" w:rsidRDefault="00A461E5" w:rsidP="00A461E5">
            <w:pPr>
              <w:spacing w:after="0" w:line="240" w:lineRule="auto"/>
              <w:jc w:val="center"/>
              <w:rPr>
                <w:rFonts w:ascii="Cambria" w:eastAsia="Times New Roman" w:hAnsi="Cambria" w:cs="Times New Roman"/>
                <w:b/>
                <w:bCs/>
                <w:color w:val="000000"/>
              </w:rPr>
            </w:pPr>
            <w:r w:rsidRPr="00A461E5">
              <w:rPr>
                <w:rFonts w:ascii="Cambria" w:eastAsia="Times New Roman" w:hAnsi="Cambria" w:cs="Times New Roman"/>
                <w:b/>
                <w:bCs/>
                <w:color w:val="000000"/>
              </w:rPr>
              <w:t>0.9%</w:t>
            </w:r>
          </w:p>
        </w:tc>
        <w:tc>
          <w:tcPr>
            <w:tcW w:w="973" w:type="dxa"/>
            <w:tcBorders>
              <w:top w:val="nil"/>
              <w:left w:val="nil"/>
              <w:bottom w:val="nil"/>
              <w:right w:val="nil"/>
            </w:tcBorders>
            <w:shd w:val="clear" w:color="auto" w:fill="auto"/>
            <w:noWrap/>
            <w:vAlign w:val="bottom"/>
            <w:hideMark/>
          </w:tcPr>
          <w:p w:rsidR="00A461E5" w:rsidRPr="00A461E5" w:rsidRDefault="00A461E5" w:rsidP="00A461E5">
            <w:pPr>
              <w:spacing w:after="0" w:line="240" w:lineRule="auto"/>
              <w:rPr>
                <w:rFonts w:ascii="Cambria" w:eastAsia="Times New Roman" w:hAnsi="Cambria" w:cs="Times New Roman"/>
                <w:color w:val="000000"/>
              </w:rPr>
            </w:pPr>
          </w:p>
        </w:tc>
      </w:tr>
    </w:tbl>
    <w:p w:rsidR="00E31628" w:rsidRDefault="00E31628" w:rsidP="003A49DA">
      <w:pPr>
        <w:rPr>
          <w:rFonts w:asciiTheme="majorHAnsi" w:hAnsiTheme="majorHAnsi" w:cstheme="majorBidi"/>
          <w:sz w:val="24"/>
          <w:szCs w:val="24"/>
          <w:lang w:bidi="ar-YE"/>
        </w:rPr>
      </w:pPr>
    </w:p>
    <w:p w:rsidR="00E31628" w:rsidRDefault="00E31628">
      <w:pPr>
        <w:rPr>
          <w:rFonts w:asciiTheme="majorHAnsi" w:hAnsiTheme="majorHAnsi" w:cstheme="majorBidi"/>
          <w:sz w:val="24"/>
          <w:szCs w:val="24"/>
          <w:lang w:bidi="ar-YE"/>
        </w:rPr>
      </w:pPr>
      <w:r>
        <w:rPr>
          <w:rFonts w:asciiTheme="majorHAnsi" w:hAnsiTheme="majorHAnsi" w:cstheme="majorBidi"/>
          <w:sz w:val="24"/>
          <w:szCs w:val="24"/>
          <w:lang w:bidi="ar-YE"/>
        </w:rPr>
        <w:br w:type="page"/>
      </w:r>
    </w:p>
    <w:p w:rsidR="00E05E00" w:rsidRPr="002657AE" w:rsidRDefault="00E05E00" w:rsidP="00E05E00">
      <w:pPr>
        <w:pStyle w:val="ListParagraph"/>
        <w:numPr>
          <w:ilvl w:val="0"/>
          <w:numId w:val="18"/>
        </w:numPr>
        <w:ind w:left="426" w:hanging="426"/>
        <w:rPr>
          <w:rFonts w:asciiTheme="majorHAnsi" w:hAnsiTheme="majorHAnsi" w:cstheme="majorBidi"/>
          <w:b/>
          <w:bCs/>
          <w:sz w:val="28"/>
          <w:szCs w:val="28"/>
        </w:rPr>
      </w:pPr>
      <w:r>
        <w:rPr>
          <w:rFonts w:asciiTheme="majorHAnsi" w:hAnsiTheme="majorHAnsi" w:cstheme="majorBidi"/>
          <w:b/>
          <w:bCs/>
          <w:sz w:val="28"/>
          <w:szCs w:val="28"/>
        </w:rPr>
        <w:lastRenderedPageBreak/>
        <w:t>Local Authority Budget:</w:t>
      </w:r>
    </w:p>
    <w:p w:rsidR="00E05E00" w:rsidRDefault="00E05E00" w:rsidP="00790D3D">
      <w:pPr>
        <w:spacing w:line="480" w:lineRule="auto"/>
        <w:ind w:firstLine="709"/>
        <w:rPr>
          <w:rFonts w:asciiTheme="majorHAnsi" w:hAnsiTheme="majorHAnsi" w:cstheme="majorBidi"/>
          <w:sz w:val="24"/>
          <w:szCs w:val="24"/>
        </w:rPr>
      </w:pPr>
      <w:r>
        <w:rPr>
          <w:rFonts w:asciiTheme="majorHAnsi" w:hAnsiTheme="majorHAnsi" w:cstheme="majorBidi"/>
          <w:sz w:val="24"/>
          <w:szCs w:val="24"/>
        </w:rPr>
        <w:t>The process of budget preparation for local authority starts at approving the budget ceilings for the operational budget</w:t>
      </w:r>
      <w:r w:rsidR="00146CB4">
        <w:rPr>
          <w:rFonts w:asciiTheme="majorHAnsi" w:hAnsiTheme="majorHAnsi" w:cstheme="majorBidi"/>
          <w:sz w:val="24"/>
          <w:szCs w:val="24"/>
        </w:rPr>
        <w:t xml:space="preserve"> </w:t>
      </w:r>
      <w:r w:rsidR="00790D3D">
        <w:rPr>
          <w:rFonts w:asciiTheme="majorHAnsi" w:hAnsiTheme="majorHAnsi" w:cstheme="majorBidi"/>
          <w:sz w:val="24"/>
          <w:szCs w:val="24"/>
        </w:rPr>
        <w:t>to calculate the expected Central Current Subsidy to local authority (See Table 12). Then, all local authority's expected revenues are added and considered an Operational Surplus</w:t>
      </w:r>
      <w:r w:rsidR="00092734">
        <w:rPr>
          <w:rFonts w:asciiTheme="majorHAnsi" w:hAnsiTheme="majorHAnsi" w:cstheme="majorBidi"/>
          <w:sz w:val="24"/>
          <w:szCs w:val="24"/>
        </w:rPr>
        <w:t xml:space="preserve"> </w:t>
      </w:r>
      <w:r w:rsidR="00790D3D">
        <w:rPr>
          <w:rFonts w:asciiTheme="majorHAnsi" w:hAnsiTheme="majorHAnsi" w:cstheme="majorBidi"/>
          <w:sz w:val="24"/>
          <w:szCs w:val="24"/>
        </w:rPr>
        <w:t>and added to the Total Operational Expenditures. To finance local authority's public investments and programs (Chapter 4 of the budget), local authority propose total expenditures that can be mainly financed by local revenues. A deficit in Chapter 4 is financed by Central Capital Subsidy as it shown in Table 12.</w:t>
      </w:r>
    </w:p>
    <w:tbl>
      <w:tblPr>
        <w:tblW w:w="11345" w:type="dxa"/>
        <w:tblInd w:w="95" w:type="dxa"/>
        <w:tblLook w:val="04A0"/>
      </w:tblPr>
      <w:tblGrid>
        <w:gridCol w:w="4160"/>
        <w:gridCol w:w="1240"/>
        <w:gridCol w:w="265"/>
        <w:gridCol w:w="3540"/>
        <w:gridCol w:w="960"/>
        <w:gridCol w:w="1180"/>
      </w:tblGrid>
      <w:tr w:rsidR="00092734" w:rsidRPr="00670FED" w:rsidTr="00790D3D">
        <w:trPr>
          <w:trHeight w:val="330"/>
        </w:trPr>
        <w:tc>
          <w:tcPr>
            <w:tcW w:w="5400" w:type="dxa"/>
            <w:gridSpan w:val="2"/>
            <w:tcBorders>
              <w:top w:val="nil"/>
              <w:left w:val="nil"/>
              <w:bottom w:val="nil"/>
              <w:right w:val="nil"/>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b/>
                <w:bCs/>
                <w:i/>
                <w:iCs/>
                <w:color w:val="000000"/>
                <w:sz w:val="24"/>
                <w:szCs w:val="24"/>
              </w:rPr>
            </w:pPr>
            <w:r w:rsidRPr="00670FED">
              <w:rPr>
                <w:rFonts w:ascii="Cambria" w:eastAsia="Times New Roman" w:hAnsi="Cambria" w:cs="Times New Roman"/>
                <w:b/>
                <w:bCs/>
                <w:color w:val="000000"/>
                <w:sz w:val="24"/>
                <w:szCs w:val="24"/>
              </w:rPr>
              <w:t xml:space="preserve">Table </w:t>
            </w:r>
            <w:r w:rsidR="00146CB4">
              <w:rPr>
                <w:rFonts w:ascii="Cambria" w:eastAsia="Times New Roman" w:hAnsi="Cambria" w:cs="Times New Roman"/>
                <w:b/>
                <w:bCs/>
                <w:color w:val="000000"/>
                <w:sz w:val="24"/>
                <w:szCs w:val="24"/>
              </w:rPr>
              <w:t>12</w:t>
            </w:r>
            <w:r w:rsidRPr="00670FED">
              <w:rPr>
                <w:rFonts w:ascii="Cambria" w:eastAsia="Times New Roman" w:hAnsi="Cambria" w:cs="Times New Roman"/>
                <w:b/>
                <w:bCs/>
                <w:color w:val="000000"/>
                <w:sz w:val="24"/>
                <w:szCs w:val="24"/>
              </w:rPr>
              <w:t>:</w:t>
            </w:r>
            <w:r>
              <w:rPr>
                <w:rFonts w:ascii="Cambria" w:eastAsia="Times New Roman" w:hAnsi="Cambria" w:cs="Times New Roman"/>
                <w:b/>
                <w:bCs/>
                <w:i/>
                <w:iCs/>
                <w:color w:val="000000"/>
                <w:sz w:val="24"/>
                <w:szCs w:val="24"/>
              </w:rPr>
              <w:t xml:space="preserve"> </w:t>
            </w:r>
            <w:r w:rsidRPr="00670FED">
              <w:rPr>
                <w:rFonts w:ascii="Cambria" w:eastAsia="Times New Roman" w:hAnsi="Cambria" w:cs="Times New Roman"/>
                <w:b/>
                <w:bCs/>
                <w:i/>
                <w:iCs/>
                <w:color w:val="000000"/>
                <w:sz w:val="24"/>
                <w:szCs w:val="24"/>
              </w:rPr>
              <w:t>Local Authority Budget Allocations (2012)</w:t>
            </w:r>
          </w:p>
        </w:tc>
        <w:tc>
          <w:tcPr>
            <w:tcW w:w="265" w:type="dxa"/>
            <w:tcBorders>
              <w:top w:val="nil"/>
              <w:left w:val="nil"/>
              <w:bottom w:val="nil"/>
              <w:right w:val="nil"/>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p>
        </w:tc>
        <w:tc>
          <w:tcPr>
            <w:tcW w:w="3540" w:type="dxa"/>
            <w:tcBorders>
              <w:top w:val="nil"/>
              <w:left w:val="nil"/>
              <w:bottom w:val="nil"/>
              <w:right w:val="nil"/>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p>
        </w:tc>
        <w:tc>
          <w:tcPr>
            <w:tcW w:w="960" w:type="dxa"/>
            <w:tcBorders>
              <w:top w:val="nil"/>
              <w:left w:val="nil"/>
              <w:bottom w:val="nil"/>
              <w:right w:val="nil"/>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p>
        </w:tc>
        <w:tc>
          <w:tcPr>
            <w:tcW w:w="1180" w:type="dxa"/>
            <w:tcBorders>
              <w:top w:val="nil"/>
              <w:left w:val="nil"/>
              <w:bottom w:val="nil"/>
              <w:right w:val="nil"/>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p>
        </w:tc>
      </w:tr>
      <w:tr w:rsidR="00092734" w:rsidRPr="00670FED" w:rsidTr="00790D3D">
        <w:trPr>
          <w:trHeight w:val="315"/>
        </w:trPr>
        <w:tc>
          <w:tcPr>
            <w:tcW w:w="11345"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Operational Budget</w:t>
            </w:r>
          </w:p>
        </w:tc>
      </w:tr>
      <w:tr w:rsidR="00092734" w:rsidRPr="00670FED" w:rsidTr="00790D3D">
        <w:trPr>
          <w:trHeight w:val="300"/>
        </w:trPr>
        <w:tc>
          <w:tcPr>
            <w:tcW w:w="5400"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FFFFFF"/>
              </w:rPr>
            </w:pPr>
            <w:r w:rsidRPr="00670FED">
              <w:rPr>
                <w:rFonts w:ascii="Cambria" w:eastAsia="Times New Roman" w:hAnsi="Cambria" w:cs="Times New Roman"/>
                <w:b/>
                <w:bCs/>
                <w:color w:val="FFFFFF"/>
              </w:rPr>
              <w:t>Expenditures</w:t>
            </w:r>
          </w:p>
        </w:tc>
        <w:tc>
          <w:tcPr>
            <w:tcW w:w="265" w:type="dxa"/>
            <w:tcBorders>
              <w:top w:val="nil"/>
              <w:left w:val="nil"/>
              <w:bottom w:val="single" w:sz="8" w:space="0" w:color="auto"/>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t> </w:t>
            </w:r>
          </w:p>
        </w:tc>
        <w:tc>
          <w:tcPr>
            <w:tcW w:w="5680"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092734" w:rsidRPr="00670FED" w:rsidRDefault="00092734" w:rsidP="00146CB4">
            <w:pPr>
              <w:spacing w:after="0" w:line="240" w:lineRule="auto"/>
              <w:jc w:val="center"/>
              <w:rPr>
                <w:rFonts w:ascii="Cambria" w:eastAsia="Times New Roman" w:hAnsi="Cambria" w:cs="Times New Roman"/>
                <w:b/>
                <w:bCs/>
                <w:color w:val="FFFFFF"/>
              </w:rPr>
            </w:pPr>
            <w:r w:rsidRPr="00670FED">
              <w:rPr>
                <w:rFonts w:ascii="Cambria" w:eastAsia="Times New Roman" w:hAnsi="Cambria" w:cs="Times New Roman"/>
                <w:b/>
                <w:bCs/>
                <w:color w:val="FFFFFF"/>
              </w:rPr>
              <w:t>Revenues</w:t>
            </w:r>
          </w:p>
        </w:tc>
      </w:tr>
      <w:tr w:rsidR="00092734" w:rsidRPr="00670FED" w:rsidTr="00790D3D">
        <w:trPr>
          <w:trHeight w:val="450"/>
        </w:trPr>
        <w:tc>
          <w:tcPr>
            <w:tcW w:w="4160" w:type="dxa"/>
            <w:tcBorders>
              <w:top w:val="nil"/>
              <w:left w:val="single" w:sz="8" w:space="0" w:color="auto"/>
              <w:bottom w:val="nil"/>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Ch1: Compensation Of Employees</w:t>
            </w:r>
          </w:p>
        </w:tc>
        <w:tc>
          <w:tcPr>
            <w:tcW w:w="124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331,246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nil"/>
              <w:left w:val="single" w:sz="8" w:space="0" w:color="auto"/>
              <w:bottom w:val="nil"/>
              <w:right w:val="nil"/>
            </w:tcBorders>
            <w:shd w:val="clear" w:color="auto" w:fill="auto"/>
            <w:noWrap/>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Ch1: Tax Revenues</w:t>
            </w:r>
          </w:p>
        </w:tc>
        <w:tc>
          <w:tcPr>
            <w:tcW w:w="960" w:type="dxa"/>
            <w:tcBorders>
              <w:top w:val="nil"/>
              <w:left w:val="nil"/>
              <w:bottom w:val="nil"/>
              <w:right w:val="nil"/>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w:t>
            </w:r>
          </w:p>
        </w:tc>
        <w:tc>
          <w:tcPr>
            <w:tcW w:w="118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10,256 </w:t>
            </w:r>
          </w:p>
        </w:tc>
      </w:tr>
      <w:tr w:rsidR="00092734" w:rsidRPr="00670FED" w:rsidTr="00790D3D">
        <w:trPr>
          <w:trHeight w:val="405"/>
        </w:trPr>
        <w:tc>
          <w:tcPr>
            <w:tcW w:w="4160" w:type="dxa"/>
            <w:tcBorders>
              <w:top w:val="nil"/>
              <w:left w:val="single" w:sz="8" w:space="0" w:color="auto"/>
              <w:bottom w:val="nil"/>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Ch2: Use of goods and services</w:t>
            </w:r>
          </w:p>
        </w:tc>
        <w:tc>
          <w:tcPr>
            <w:tcW w:w="124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29,067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nil"/>
              <w:left w:val="single" w:sz="8" w:space="0" w:color="auto"/>
              <w:bottom w:val="nil"/>
              <w:right w:val="nil"/>
            </w:tcBorders>
            <w:shd w:val="clear" w:color="auto" w:fill="auto"/>
            <w:noWrap/>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Chapter 2: Grants</w:t>
            </w:r>
          </w:p>
        </w:tc>
        <w:tc>
          <w:tcPr>
            <w:tcW w:w="960" w:type="dxa"/>
            <w:tcBorders>
              <w:top w:val="nil"/>
              <w:left w:val="nil"/>
              <w:bottom w:val="nil"/>
              <w:right w:val="nil"/>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p>
        </w:tc>
        <w:tc>
          <w:tcPr>
            <w:tcW w:w="118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50,977 </w:t>
            </w:r>
          </w:p>
        </w:tc>
      </w:tr>
      <w:tr w:rsidR="00092734" w:rsidRPr="00670FED" w:rsidTr="00790D3D">
        <w:trPr>
          <w:trHeight w:val="480"/>
        </w:trPr>
        <w:tc>
          <w:tcPr>
            <w:tcW w:w="4160" w:type="dxa"/>
            <w:tcBorders>
              <w:top w:val="nil"/>
              <w:left w:val="single" w:sz="8" w:space="0" w:color="auto"/>
              <w:bottom w:val="nil"/>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Ch3: Subsidies, Grants And Social Benefits</w:t>
            </w:r>
          </w:p>
        </w:tc>
        <w:tc>
          <w:tcPr>
            <w:tcW w:w="124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434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Central Capital Subsidy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15,000 </w:t>
            </w:r>
          </w:p>
        </w:tc>
        <w:tc>
          <w:tcPr>
            <w:tcW w:w="118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w:t>
            </w:r>
          </w:p>
        </w:tc>
      </w:tr>
      <w:tr w:rsidR="00092734" w:rsidRPr="00670FED" w:rsidTr="00790D3D">
        <w:trPr>
          <w:trHeight w:val="510"/>
        </w:trPr>
        <w:tc>
          <w:tcPr>
            <w:tcW w:w="4160" w:type="dxa"/>
            <w:tcBorders>
              <w:top w:val="nil"/>
              <w:left w:val="single" w:sz="8" w:space="0" w:color="auto"/>
              <w:bottom w:val="nil"/>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124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nil"/>
              <w:left w:val="single" w:sz="8" w:space="0" w:color="auto"/>
              <w:bottom w:val="single" w:sz="4" w:space="0" w:color="auto"/>
              <w:right w:val="single" w:sz="4" w:space="0" w:color="auto"/>
            </w:tcBorders>
            <w:shd w:val="clear" w:color="auto" w:fill="auto"/>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Share Of Joint public Revenues </w:t>
            </w:r>
          </w:p>
        </w:tc>
        <w:tc>
          <w:tcPr>
            <w:tcW w:w="960" w:type="dxa"/>
            <w:tcBorders>
              <w:top w:val="nil"/>
              <w:left w:val="nil"/>
              <w:bottom w:val="single" w:sz="4" w:space="0" w:color="auto"/>
              <w:right w:val="single" w:sz="4"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17,968 </w:t>
            </w:r>
          </w:p>
        </w:tc>
        <w:tc>
          <w:tcPr>
            <w:tcW w:w="118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w:t>
            </w:r>
          </w:p>
        </w:tc>
      </w:tr>
      <w:tr w:rsidR="00092734" w:rsidRPr="00670FED" w:rsidTr="00790D3D">
        <w:trPr>
          <w:trHeight w:val="570"/>
        </w:trPr>
        <w:tc>
          <w:tcPr>
            <w:tcW w:w="4160" w:type="dxa"/>
            <w:tcBorders>
              <w:top w:val="nil"/>
              <w:left w:val="single" w:sz="8" w:space="0" w:color="auto"/>
              <w:bottom w:val="nil"/>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t>Sub-Total of Operational Expenditures</w:t>
            </w:r>
          </w:p>
        </w:tc>
        <w:tc>
          <w:tcPr>
            <w:tcW w:w="124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360,746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nil"/>
              <w:left w:val="single" w:sz="8" w:space="0" w:color="auto"/>
              <w:bottom w:val="single" w:sz="4" w:space="0" w:color="auto"/>
              <w:right w:val="single" w:sz="4" w:space="0" w:color="auto"/>
            </w:tcBorders>
            <w:shd w:val="clear" w:color="auto" w:fill="auto"/>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Joint Revenues</w:t>
            </w:r>
          </w:p>
        </w:tc>
        <w:tc>
          <w:tcPr>
            <w:tcW w:w="960" w:type="dxa"/>
            <w:tcBorders>
              <w:top w:val="nil"/>
              <w:left w:val="nil"/>
              <w:bottom w:val="single" w:sz="4" w:space="0" w:color="auto"/>
              <w:right w:val="single" w:sz="4"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18,009 </w:t>
            </w:r>
          </w:p>
        </w:tc>
        <w:tc>
          <w:tcPr>
            <w:tcW w:w="118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w:t>
            </w:r>
          </w:p>
        </w:tc>
      </w:tr>
      <w:tr w:rsidR="00092734" w:rsidRPr="00670FED" w:rsidTr="00790D3D">
        <w:trPr>
          <w:trHeight w:val="570"/>
        </w:trPr>
        <w:tc>
          <w:tcPr>
            <w:tcW w:w="4160" w:type="dxa"/>
            <w:tcBorders>
              <w:top w:val="nil"/>
              <w:left w:val="single" w:sz="8" w:space="0" w:color="auto"/>
              <w:bottom w:val="nil"/>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Operational Surplus</w:t>
            </w:r>
            <w:r w:rsidRPr="00670FED">
              <w:rPr>
                <w:rFonts w:ascii="Cambria" w:eastAsia="Times New Roman" w:hAnsi="Cambria" w:cs="Times New Roman"/>
                <w:b/>
                <w:bCs/>
                <w:color w:val="000000"/>
              </w:rPr>
              <w:t xml:space="preserve"> (A)</w:t>
            </w:r>
          </w:p>
        </w:tc>
        <w:tc>
          <w:tcPr>
            <w:tcW w:w="124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61,233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4" w:space="0" w:color="auto"/>
              <w:left w:val="single" w:sz="8" w:space="0" w:color="auto"/>
              <w:bottom w:val="nil"/>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Ch3:  Income From Properties, Sales Of Goods And Services</w:t>
            </w:r>
          </w:p>
        </w:tc>
        <w:tc>
          <w:tcPr>
            <w:tcW w:w="118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   </w:t>
            </w:r>
          </w:p>
        </w:tc>
      </w:tr>
      <w:tr w:rsidR="00092734" w:rsidRPr="00670FED" w:rsidTr="00790D3D">
        <w:trPr>
          <w:trHeight w:val="450"/>
        </w:trPr>
        <w:tc>
          <w:tcPr>
            <w:tcW w:w="4160" w:type="dxa"/>
            <w:tcBorders>
              <w:top w:val="nil"/>
              <w:left w:val="single" w:sz="8" w:space="0" w:color="auto"/>
              <w:bottom w:val="nil"/>
              <w:right w:val="nil"/>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1240" w:type="dxa"/>
            <w:tcBorders>
              <w:top w:val="nil"/>
              <w:left w:val="nil"/>
              <w:bottom w:val="nil"/>
              <w:right w:val="single" w:sz="8" w:space="0" w:color="auto"/>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4" w:space="0" w:color="auto"/>
              <w:left w:val="single" w:sz="8" w:space="0" w:color="auto"/>
              <w:bottom w:val="single" w:sz="4" w:space="0" w:color="auto"/>
              <w:right w:val="nil"/>
            </w:tcBorders>
            <w:shd w:val="clear" w:color="000000" w:fill="C2D69A"/>
            <w:vAlign w:val="center"/>
            <w:hideMark/>
          </w:tcPr>
          <w:p w:rsidR="00092734" w:rsidRPr="00670FED" w:rsidRDefault="00092734" w:rsidP="00146CB4">
            <w:pPr>
              <w:spacing w:after="0" w:line="240" w:lineRule="auto"/>
              <w:rPr>
                <w:rFonts w:ascii="Cambria" w:eastAsia="Times New Roman" w:hAnsi="Cambria" w:cs="Times New Roman"/>
                <w:u w:val="single"/>
              </w:rPr>
            </w:pPr>
            <w:r w:rsidRPr="00670FED">
              <w:rPr>
                <w:rFonts w:ascii="Cambria" w:eastAsia="Times New Roman" w:hAnsi="Cambria" w:cs="Times New Roman"/>
                <w:u w:val="single"/>
              </w:rPr>
              <w:t>Operational Surplus: Ch1+Ch2+Ch3</w:t>
            </w:r>
            <w:r w:rsidRPr="00670FED">
              <w:rPr>
                <w:rFonts w:ascii="Cambria" w:eastAsia="Times New Roman" w:hAnsi="Cambria" w:cs="Times New Roman"/>
                <w:b/>
                <w:bCs/>
                <w:u w:val="single"/>
              </w:rPr>
              <w:t xml:space="preserve"> (A)</w:t>
            </w:r>
          </w:p>
        </w:tc>
        <w:tc>
          <w:tcPr>
            <w:tcW w:w="1180" w:type="dxa"/>
            <w:tcBorders>
              <w:top w:val="single" w:sz="4" w:space="0" w:color="auto"/>
              <w:left w:val="nil"/>
              <w:bottom w:val="single" w:sz="4" w:space="0" w:color="auto"/>
              <w:right w:val="single" w:sz="8" w:space="0" w:color="auto"/>
            </w:tcBorders>
            <w:shd w:val="clear" w:color="000000" w:fill="C2D69A"/>
            <w:noWrap/>
            <w:vAlign w:val="center"/>
            <w:hideMark/>
          </w:tcPr>
          <w:p w:rsidR="00092734" w:rsidRPr="00670FED" w:rsidRDefault="00092734" w:rsidP="00146CB4">
            <w:pPr>
              <w:spacing w:after="0" w:line="240" w:lineRule="auto"/>
              <w:jc w:val="center"/>
              <w:rPr>
                <w:rFonts w:ascii="Cambria" w:eastAsia="Times New Roman" w:hAnsi="Cambria" w:cs="Times New Roman"/>
                <w:u w:val="single"/>
              </w:rPr>
            </w:pPr>
            <w:r w:rsidRPr="00670FED">
              <w:rPr>
                <w:rFonts w:ascii="Cambria" w:eastAsia="Times New Roman" w:hAnsi="Cambria" w:cs="Times New Roman"/>
                <w:u w:val="single"/>
              </w:rPr>
              <w:t xml:space="preserve">         61,233 </w:t>
            </w:r>
          </w:p>
        </w:tc>
      </w:tr>
      <w:tr w:rsidR="00092734" w:rsidRPr="00670FED" w:rsidTr="00790D3D">
        <w:trPr>
          <w:trHeight w:val="585"/>
        </w:trPr>
        <w:tc>
          <w:tcPr>
            <w:tcW w:w="4160" w:type="dxa"/>
            <w:tcBorders>
              <w:top w:val="nil"/>
              <w:left w:val="single" w:sz="8" w:space="0" w:color="auto"/>
              <w:bottom w:val="nil"/>
              <w:right w:val="nil"/>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1240" w:type="dxa"/>
            <w:tcBorders>
              <w:top w:val="nil"/>
              <w:left w:val="nil"/>
              <w:bottom w:val="nil"/>
              <w:right w:val="single" w:sz="8" w:space="0" w:color="auto"/>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nil"/>
              <w:left w:val="single" w:sz="8" w:space="0" w:color="auto"/>
              <w:bottom w:val="single" w:sz="8" w:space="0" w:color="auto"/>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Ch2: Grants (Central Current Subsidy)</w:t>
            </w:r>
          </w:p>
        </w:tc>
        <w:tc>
          <w:tcPr>
            <w:tcW w:w="118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360,746 </w:t>
            </w:r>
          </w:p>
        </w:tc>
      </w:tr>
      <w:tr w:rsidR="00092734" w:rsidRPr="00670FED" w:rsidTr="00790D3D">
        <w:trPr>
          <w:trHeight w:val="420"/>
        </w:trPr>
        <w:tc>
          <w:tcPr>
            <w:tcW w:w="4160" w:type="dxa"/>
            <w:tcBorders>
              <w:top w:val="single" w:sz="8" w:space="0" w:color="auto"/>
              <w:left w:val="single" w:sz="8" w:space="0" w:color="auto"/>
              <w:bottom w:val="single" w:sz="8" w:space="0" w:color="auto"/>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t>Total Operational Expenditures</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421,979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8" w:space="0" w:color="auto"/>
              <w:left w:val="single" w:sz="8" w:space="0" w:color="auto"/>
              <w:bottom w:val="single" w:sz="8" w:space="0" w:color="auto"/>
              <w:right w:val="nil"/>
            </w:tcBorders>
            <w:shd w:val="clear" w:color="auto" w:fill="auto"/>
            <w:vAlign w:val="center"/>
            <w:hideMark/>
          </w:tcPr>
          <w:p w:rsidR="00092734" w:rsidRPr="00670FED" w:rsidRDefault="00092734" w:rsidP="00146CB4">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Total Operational Revenues</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421,979 </w:t>
            </w:r>
          </w:p>
        </w:tc>
      </w:tr>
      <w:tr w:rsidR="00092734" w:rsidRPr="00670FED" w:rsidTr="00790D3D">
        <w:trPr>
          <w:trHeight w:val="300"/>
        </w:trPr>
        <w:tc>
          <w:tcPr>
            <w:tcW w:w="11345"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Transactions in Non-Financial Assets</w:t>
            </w:r>
          </w:p>
        </w:tc>
      </w:tr>
      <w:tr w:rsidR="00092734" w:rsidRPr="00670FED" w:rsidTr="00790D3D">
        <w:trPr>
          <w:trHeight w:val="285"/>
        </w:trPr>
        <w:tc>
          <w:tcPr>
            <w:tcW w:w="4160" w:type="dxa"/>
            <w:tcBorders>
              <w:top w:val="nil"/>
              <w:left w:val="single" w:sz="8" w:space="0" w:color="auto"/>
              <w:bottom w:val="nil"/>
              <w:right w:val="nil"/>
            </w:tcBorders>
            <w:shd w:val="clear" w:color="auto" w:fill="auto"/>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Ch4 :Acquisition Of Non-Financial Assets</w:t>
            </w:r>
          </w:p>
        </w:tc>
        <w:tc>
          <w:tcPr>
            <w:tcW w:w="124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xml:space="preserve">          70,037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8" w:space="0" w:color="auto"/>
              <w:left w:val="single" w:sz="8" w:space="0" w:color="auto"/>
              <w:bottom w:val="nil"/>
              <w:right w:val="nil"/>
            </w:tcBorders>
            <w:shd w:val="clear" w:color="auto" w:fill="auto"/>
            <w:noWrap/>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Operational Surplus</w:t>
            </w:r>
            <w:r w:rsidRPr="00670FED">
              <w:rPr>
                <w:rFonts w:ascii="Cambria" w:eastAsia="Times New Roman" w:hAnsi="Cambria" w:cs="Times New Roman"/>
                <w:b/>
                <w:bCs/>
                <w:color w:val="000000"/>
              </w:rPr>
              <w:t xml:space="preserve"> (A)</w:t>
            </w:r>
          </w:p>
        </w:tc>
        <w:tc>
          <w:tcPr>
            <w:tcW w:w="118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61,233 </w:t>
            </w:r>
          </w:p>
        </w:tc>
      </w:tr>
      <w:tr w:rsidR="00092734" w:rsidRPr="00670FED" w:rsidTr="00790D3D">
        <w:trPr>
          <w:trHeight w:val="360"/>
        </w:trPr>
        <w:tc>
          <w:tcPr>
            <w:tcW w:w="4160" w:type="dxa"/>
            <w:tcBorders>
              <w:top w:val="nil"/>
              <w:left w:val="single" w:sz="8" w:space="0" w:color="auto"/>
              <w:bottom w:val="nil"/>
              <w:right w:val="nil"/>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80"/>
              </w:rPr>
            </w:pPr>
            <w:r w:rsidRPr="00670FED">
              <w:rPr>
                <w:rFonts w:ascii="Cambria" w:eastAsia="Times New Roman" w:hAnsi="Cambria" w:cs="Times New Roman"/>
                <w:b/>
                <w:bCs/>
                <w:color w:val="000080"/>
              </w:rPr>
              <w:t> </w:t>
            </w:r>
          </w:p>
        </w:tc>
        <w:tc>
          <w:tcPr>
            <w:tcW w:w="1240" w:type="dxa"/>
            <w:tcBorders>
              <w:top w:val="nil"/>
              <w:left w:val="nil"/>
              <w:bottom w:val="nil"/>
              <w:right w:val="single" w:sz="8" w:space="0" w:color="auto"/>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nil"/>
              <w:left w:val="single" w:sz="8" w:space="0" w:color="auto"/>
              <w:bottom w:val="nil"/>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Ch4 :Acquisition Of Non-Financial Assets</w:t>
            </w:r>
          </w:p>
        </w:tc>
        <w:tc>
          <w:tcPr>
            <w:tcW w:w="118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75 </w:t>
            </w:r>
          </w:p>
        </w:tc>
      </w:tr>
      <w:tr w:rsidR="00092734" w:rsidRPr="00670FED" w:rsidTr="00790D3D">
        <w:trPr>
          <w:trHeight w:val="285"/>
        </w:trPr>
        <w:tc>
          <w:tcPr>
            <w:tcW w:w="4160" w:type="dxa"/>
            <w:tcBorders>
              <w:top w:val="nil"/>
              <w:left w:val="single" w:sz="8" w:space="0" w:color="auto"/>
              <w:bottom w:val="nil"/>
              <w:right w:val="nil"/>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1240" w:type="dxa"/>
            <w:tcBorders>
              <w:top w:val="nil"/>
              <w:left w:val="nil"/>
              <w:bottom w:val="nil"/>
              <w:right w:val="single" w:sz="8" w:space="0" w:color="auto"/>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nil"/>
              <w:left w:val="single" w:sz="8" w:space="0" w:color="auto"/>
              <w:bottom w:val="nil"/>
              <w:right w:val="nil"/>
            </w:tcBorders>
            <w:shd w:val="clear" w:color="auto" w:fill="auto"/>
            <w:noWrap/>
            <w:vAlign w:val="center"/>
            <w:hideMark/>
          </w:tcPr>
          <w:p w:rsidR="00092734" w:rsidRPr="00670FED" w:rsidRDefault="00092734" w:rsidP="00146CB4">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t xml:space="preserve">   Sub-Total</w:t>
            </w:r>
          </w:p>
        </w:tc>
        <w:tc>
          <w:tcPr>
            <w:tcW w:w="118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61,308 </w:t>
            </w:r>
          </w:p>
        </w:tc>
      </w:tr>
      <w:tr w:rsidR="00092734" w:rsidRPr="00670FED" w:rsidTr="00790D3D">
        <w:trPr>
          <w:trHeight w:val="300"/>
        </w:trPr>
        <w:tc>
          <w:tcPr>
            <w:tcW w:w="4160" w:type="dxa"/>
            <w:tcBorders>
              <w:top w:val="nil"/>
              <w:left w:val="single" w:sz="8" w:space="0" w:color="auto"/>
              <w:bottom w:val="nil"/>
              <w:right w:val="nil"/>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80"/>
              </w:rPr>
            </w:pPr>
            <w:r w:rsidRPr="00670FED">
              <w:rPr>
                <w:rFonts w:ascii="Cambria" w:eastAsia="Times New Roman" w:hAnsi="Cambria" w:cs="Times New Roman"/>
                <w:b/>
                <w:bCs/>
                <w:color w:val="000080"/>
              </w:rPr>
              <w:t> </w:t>
            </w:r>
          </w:p>
        </w:tc>
        <w:tc>
          <w:tcPr>
            <w:tcW w:w="1240" w:type="dxa"/>
            <w:tcBorders>
              <w:top w:val="nil"/>
              <w:left w:val="nil"/>
              <w:bottom w:val="nil"/>
              <w:right w:val="single" w:sz="8" w:space="0" w:color="auto"/>
            </w:tcBorders>
            <w:shd w:val="clear" w:color="auto" w:fill="auto"/>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265" w:type="dxa"/>
            <w:tcBorders>
              <w:top w:val="nil"/>
              <w:left w:val="nil"/>
              <w:bottom w:val="nil"/>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3540" w:type="dxa"/>
            <w:tcBorders>
              <w:top w:val="single" w:sz="4" w:space="0" w:color="auto"/>
              <w:left w:val="single" w:sz="8" w:space="0" w:color="auto"/>
              <w:bottom w:val="nil"/>
              <w:right w:val="nil"/>
            </w:tcBorders>
            <w:shd w:val="clear" w:color="000000" w:fill="C2D69A"/>
            <w:noWrap/>
            <w:vAlign w:val="center"/>
            <w:hideMark/>
          </w:tcPr>
          <w:p w:rsidR="00092734" w:rsidRPr="00670FED" w:rsidRDefault="00092734" w:rsidP="00146CB4">
            <w:pPr>
              <w:spacing w:after="0" w:line="240" w:lineRule="auto"/>
              <w:rPr>
                <w:rFonts w:ascii="Cambria" w:eastAsia="Times New Roman" w:hAnsi="Cambria" w:cs="Times New Roman"/>
                <w:color w:val="000000"/>
                <w:u w:val="single"/>
              </w:rPr>
            </w:pPr>
            <w:r w:rsidRPr="00670FED">
              <w:rPr>
                <w:rFonts w:ascii="Cambria" w:eastAsia="Times New Roman" w:hAnsi="Cambria" w:cs="Times New Roman"/>
                <w:color w:val="000000"/>
                <w:u w:val="single"/>
              </w:rPr>
              <w:t>Add: the Deficit in Ch4</w:t>
            </w:r>
          </w:p>
        </w:tc>
        <w:tc>
          <w:tcPr>
            <w:tcW w:w="960" w:type="dxa"/>
            <w:tcBorders>
              <w:top w:val="single" w:sz="4" w:space="0" w:color="auto"/>
              <w:left w:val="nil"/>
              <w:bottom w:val="nil"/>
              <w:right w:val="nil"/>
            </w:tcBorders>
            <w:shd w:val="clear" w:color="000000" w:fill="C2D69A"/>
            <w:noWrap/>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1180" w:type="dxa"/>
            <w:tcBorders>
              <w:top w:val="single" w:sz="4" w:space="0" w:color="auto"/>
              <w:left w:val="nil"/>
              <w:bottom w:val="nil"/>
              <w:right w:val="single" w:sz="8" w:space="0" w:color="auto"/>
            </w:tcBorders>
            <w:shd w:val="clear" w:color="000000" w:fill="C2D69A"/>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w:t>
            </w:r>
            <w:r w:rsidRPr="00670FED">
              <w:rPr>
                <w:rFonts w:ascii="Cambria" w:eastAsia="Times New Roman" w:hAnsi="Cambria" w:cs="Times New Roman"/>
                <w:color w:val="000000"/>
              </w:rPr>
              <w:lastRenderedPageBreak/>
              <w:t xml:space="preserve">8,728 </w:t>
            </w:r>
          </w:p>
        </w:tc>
      </w:tr>
      <w:tr w:rsidR="00092734" w:rsidRPr="00670FED" w:rsidTr="00790D3D">
        <w:trPr>
          <w:trHeight w:val="300"/>
        </w:trPr>
        <w:tc>
          <w:tcPr>
            <w:tcW w:w="4160" w:type="dxa"/>
            <w:tcBorders>
              <w:top w:val="single" w:sz="8" w:space="0" w:color="auto"/>
              <w:left w:val="single" w:sz="8" w:space="0" w:color="auto"/>
              <w:bottom w:val="single" w:sz="8" w:space="0" w:color="auto"/>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lastRenderedPageBreak/>
              <w:t>Total Transactions Expenditures</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70,037 </w:t>
            </w:r>
          </w:p>
        </w:tc>
        <w:tc>
          <w:tcPr>
            <w:tcW w:w="265" w:type="dxa"/>
            <w:tcBorders>
              <w:top w:val="nil"/>
              <w:left w:val="nil"/>
              <w:bottom w:val="single" w:sz="8" w:space="0" w:color="auto"/>
              <w:right w:val="nil"/>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8" w:space="0" w:color="auto"/>
              <w:left w:val="single" w:sz="8" w:space="0" w:color="auto"/>
              <w:bottom w:val="single" w:sz="8" w:space="0" w:color="auto"/>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b/>
                <w:bCs/>
                <w:color w:val="000000"/>
              </w:rPr>
            </w:pPr>
            <w:r w:rsidRPr="00670FED">
              <w:rPr>
                <w:rFonts w:ascii="Cambria" w:eastAsia="Times New Roman" w:hAnsi="Cambria" w:cs="Times New Roman"/>
                <w:b/>
                <w:bCs/>
                <w:color w:val="000000"/>
              </w:rPr>
              <w:t>Total</w:t>
            </w:r>
            <w:r>
              <w:rPr>
                <w:rFonts w:ascii="Cambria" w:eastAsia="Times New Roman" w:hAnsi="Cambria" w:cs="Times New Roman"/>
                <w:b/>
                <w:bCs/>
                <w:color w:val="000000"/>
              </w:rPr>
              <w:t xml:space="preserve"> </w:t>
            </w:r>
            <w:r w:rsidRPr="00670FED">
              <w:rPr>
                <w:rFonts w:ascii="Cambria" w:eastAsia="Times New Roman" w:hAnsi="Cambria" w:cs="Times New Roman"/>
                <w:b/>
                <w:bCs/>
                <w:color w:val="000000"/>
              </w:rPr>
              <w:t>Transactions Revenues</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 xml:space="preserve">      70,037 </w:t>
            </w:r>
          </w:p>
        </w:tc>
      </w:tr>
      <w:tr w:rsidR="00092734" w:rsidRPr="00670FED" w:rsidTr="00790D3D">
        <w:trPr>
          <w:trHeight w:val="330"/>
        </w:trPr>
        <w:tc>
          <w:tcPr>
            <w:tcW w:w="11345"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092734" w:rsidRPr="00670FED" w:rsidRDefault="00092734" w:rsidP="00146CB4">
            <w:pPr>
              <w:spacing w:after="0" w:line="240" w:lineRule="auto"/>
              <w:jc w:val="center"/>
              <w:rPr>
                <w:rFonts w:ascii="Cambria" w:eastAsia="Times New Roman" w:hAnsi="Cambria" w:cs="Times New Roman"/>
                <w:b/>
                <w:bCs/>
                <w:color w:val="000000"/>
              </w:rPr>
            </w:pPr>
            <w:r w:rsidRPr="00670FED">
              <w:rPr>
                <w:rFonts w:ascii="Cambria" w:eastAsia="Times New Roman" w:hAnsi="Cambria" w:cs="Times New Roman"/>
                <w:b/>
                <w:bCs/>
                <w:color w:val="000000"/>
              </w:rPr>
              <w:t>Transactions in Financial Commitment (Financing)</w:t>
            </w:r>
          </w:p>
        </w:tc>
      </w:tr>
      <w:tr w:rsidR="00092734" w:rsidRPr="00670FED" w:rsidTr="00790D3D">
        <w:trPr>
          <w:trHeight w:val="480"/>
        </w:trPr>
        <w:tc>
          <w:tcPr>
            <w:tcW w:w="4160" w:type="dxa"/>
            <w:tcBorders>
              <w:top w:val="nil"/>
              <w:left w:val="single" w:sz="8" w:space="0" w:color="auto"/>
              <w:bottom w:val="nil"/>
              <w:right w:val="nil"/>
            </w:tcBorders>
            <w:shd w:val="clear" w:color="auto" w:fill="auto"/>
            <w:noWrap/>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Cash Deficit</w:t>
            </w:r>
          </w:p>
        </w:tc>
        <w:tc>
          <w:tcPr>
            <w:tcW w:w="124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xml:space="preserve">             8,728 </w:t>
            </w:r>
          </w:p>
        </w:tc>
        <w:tc>
          <w:tcPr>
            <w:tcW w:w="265" w:type="dxa"/>
            <w:tcBorders>
              <w:top w:val="nil"/>
              <w:left w:val="nil"/>
              <w:bottom w:val="nil"/>
              <w:right w:val="single" w:sz="8" w:space="0" w:color="auto"/>
            </w:tcBorders>
            <w:shd w:val="clear" w:color="000000" w:fill="000000"/>
            <w:noWrap/>
            <w:vAlign w:val="bottom"/>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 </w:t>
            </w:r>
          </w:p>
        </w:tc>
        <w:tc>
          <w:tcPr>
            <w:tcW w:w="4500" w:type="dxa"/>
            <w:gridSpan w:val="2"/>
            <w:tcBorders>
              <w:top w:val="single" w:sz="8" w:space="0" w:color="auto"/>
              <w:left w:val="nil"/>
              <w:bottom w:val="nil"/>
              <w:right w:val="nil"/>
            </w:tcBorders>
            <w:shd w:val="clear" w:color="auto" w:fill="auto"/>
            <w:vAlign w:val="center"/>
            <w:hideMark/>
          </w:tcPr>
          <w:p w:rsidR="00092734" w:rsidRPr="00670FED" w:rsidRDefault="00092734" w:rsidP="00146CB4">
            <w:pPr>
              <w:spacing w:after="0" w:line="240" w:lineRule="auto"/>
              <w:rPr>
                <w:rFonts w:ascii="Cambria" w:eastAsia="Times New Roman" w:hAnsi="Cambria" w:cs="Times New Roman"/>
                <w:color w:val="000000"/>
              </w:rPr>
            </w:pPr>
            <w:r w:rsidRPr="00670FED">
              <w:rPr>
                <w:rFonts w:ascii="Cambria" w:eastAsia="Times New Roman" w:hAnsi="Cambria" w:cs="Times New Roman"/>
                <w:color w:val="000000"/>
              </w:rPr>
              <w:t>Changes in Cash and Local Deposits (+)</w:t>
            </w:r>
          </w:p>
        </w:tc>
        <w:tc>
          <w:tcPr>
            <w:tcW w:w="1180" w:type="dxa"/>
            <w:tcBorders>
              <w:top w:val="nil"/>
              <w:left w:val="nil"/>
              <w:bottom w:val="nil"/>
              <w:right w:val="single" w:sz="8" w:space="0" w:color="auto"/>
            </w:tcBorders>
            <w:shd w:val="clear" w:color="auto" w:fill="auto"/>
            <w:noWrap/>
            <w:vAlign w:val="center"/>
            <w:hideMark/>
          </w:tcPr>
          <w:p w:rsidR="00092734" w:rsidRPr="00670FED" w:rsidRDefault="00092734" w:rsidP="00146CB4">
            <w:pPr>
              <w:spacing w:after="0" w:line="240" w:lineRule="auto"/>
              <w:jc w:val="center"/>
              <w:rPr>
                <w:rFonts w:ascii="Cambria" w:eastAsia="Times New Roman" w:hAnsi="Cambria" w:cs="Times New Roman"/>
                <w:color w:val="000000"/>
              </w:rPr>
            </w:pPr>
            <w:r w:rsidRPr="00670FED">
              <w:rPr>
                <w:rFonts w:ascii="Cambria" w:eastAsia="Times New Roman" w:hAnsi="Cambria" w:cs="Times New Roman"/>
                <w:color w:val="000000"/>
              </w:rPr>
              <w:t xml:space="preserve">           8,728 </w:t>
            </w:r>
          </w:p>
        </w:tc>
      </w:tr>
      <w:tr w:rsidR="00092734" w:rsidRPr="00670FED" w:rsidTr="00790D3D">
        <w:trPr>
          <w:trHeight w:val="505"/>
        </w:trPr>
        <w:tc>
          <w:tcPr>
            <w:tcW w:w="4160" w:type="dxa"/>
            <w:tcBorders>
              <w:top w:val="single" w:sz="8" w:space="0" w:color="auto"/>
              <w:left w:val="single" w:sz="8" w:space="0" w:color="auto"/>
              <w:bottom w:val="single" w:sz="8" w:space="0" w:color="auto"/>
              <w:right w:val="nil"/>
            </w:tcBorders>
            <w:shd w:val="clear" w:color="000000" w:fill="000000"/>
            <w:noWrap/>
            <w:vAlign w:val="center"/>
            <w:hideMark/>
          </w:tcPr>
          <w:p w:rsidR="00092734" w:rsidRPr="00670FED" w:rsidRDefault="00092734" w:rsidP="00146CB4">
            <w:pPr>
              <w:spacing w:after="0" w:line="240" w:lineRule="auto"/>
              <w:rPr>
                <w:rFonts w:ascii="Cambria" w:eastAsia="Times New Roman" w:hAnsi="Cambria" w:cs="Times New Roman"/>
                <w:b/>
                <w:bCs/>
                <w:color w:val="FFFFFF"/>
                <w:sz w:val="24"/>
                <w:szCs w:val="24"/>
              </w:rPr>
            </w:pPr>
            <w:r w:rsidRPr="00670FED">
              <w:rPr>
                <w:rFonts w:ascii="Cambria" w:eastAsia="Times New Roman" w:hAnsi="Cambria" w:cs="Times New Roman"/>
                <w:b/>
                <w:bCs/>
                <w:color w:val="FFFFFF"/>
                <w:sz w:val="24"/>
                <w:szCs w:val="24"/>
              </w:rPr>
              <w:t>Total Expenditures</w:t>
            </w:r>
          </w:p>
        </w:tc>
        <w:tc>
          <w:tcPr>
            <w:tcW w:w="1240" w:type="dxa"/>
            <w:tcBorders>
              <w:top w:val="single" w:sz="8" w:space="0" w:color="auto"/>
              <w:left w:val="nil"/>
              <w:bottom w:val="single" w:sz="8" w:space="0" w:color="auto"/>
              <w:right w:val="single" w:sz="8" w:space="0" w:color="auto"/>
            </w:tcBorders>
            <w:shd w:val="clear" w:color="000000" w:fill="000000"/>
            <w:noWrap/>
            <w:vAlign w:val="center"/>
            <w:hideMark/>
          </w:tcPr>
          <w:p w:rsidR="00092734" w:rsidRPr="00670FED" w:rsidRDefault="00092734" w:rsidP="00146CB4">
            <w:pPr>
              <w:spacing w:after="0" w:line="240" w:lineRule="auto"/>
              <w:rPr>
                <w:rFonts w:ascii="Cambria" w:eastAsia="Times New Roman" w:hAnsi="Cambria" w:cs="Times New Roman"/>
                <w:b/>
                <w:bCs/>
                <w:color w:val="FFFFFF"/>
                <w:sz w:val="24"/>
                <w:szCs w:val="24"/>
              </w:rPr>
            </w:pPr>
            <w:r w:rsidRPr="00670FED">
              <w:rPr>
                <w:rFonts w:ascii="Cambria" w:eastAsia="Times New Roman" w:hAnsi="Cambria" w:cs="Times New Roman"/>
                <w:b/>
                <w:bCs/>
                <w:color w:val="FFFFFF"/>
                <w:sz w:val="24"/>
                <w:szCs w:val="24"/>
              </w:rPr>
              <w:t xml:space="preserve">   430,783 </w:t>
            </w:r>
          </w:p>
        </w:tc>
        <w:tc>
          <w:tcPr>
            <w:tcW w:w="265" w:type="dxa"/>
            <w:tcBorders>
              <w:top w:val="single" w:sz="8" w:space="0" w:color="auto"/>
              <w:left w:val="nil"/>
              <w:bottom w:val="single" w:sz="8" w:space="0" w:color="auto"/>
              <w:right w:val="single" w:sz="8" w:space="0" w:color="auto"/>
            </w:tcBorders>
            <w:shd w:val="clear" w:color="000000" w:fill="FFFFFF"/>
            <w:noWrap/>
            <w:vAlign w:val="center"/>
            <w:hideMark/>
          </w:tcPr>
          <w:p w:rsidR="00092734" w:rsidRPr="00670FED" w:rsidRDefault="00092734" w:rsidP="00146CB4">
            <w:pPr>
              <w:spacing w:after="0" w:line="240" w:lineRule="auto"/>
              <w:rPr>
                <w:rFonts w:ascii="Cambria" w:eastAsia="Times New Roman" w:hAnsi="Cambria" w:cs="Times New Roman"/>
                <w:color w:val="FFFFFF"/>
              </w:rPr>
            </w:pPr>
            <w:r w:rsidRPr="00670FED">
              <w:rPr>
                <w:rFonts w:ascii="Cambria" w:eastAsia="Times New Roman" w:hAnsi="Cambria" w:cs="Times New Roman"/>
                <w:color w:val="FFFFFF"/>
              </w:rPr>
              <w:t> </w:t>
            </w:r>
          </w:p>
        </w:tc>
        <w:tc>
          <w:tcPr>
            <w:tcW w:w="3540" w:type="dxa"/>
            <w:tcBorders>
              <w:top w:val="single" w:sz="8" w:space="0" w:color="auto"/>
              <w:left w:val="nil"/>
              <w:bottom w:val="single" w:sz="8" w:space="0" w:color="auto"/>
              <w:right w:val="nil"/>
            </w:tcBorders>
            <w:shd w:val="clear" w:color="000000" w:fill="000000"/>
            <w:noWrap/>
            <w:vAlign w:val="center"/>
            <w:hideMark/>
          </w:tcPr>
          <w:p w:rsidR="00092734" w:rsidRPr="00670FED" w:rsidRDefault="00092734" w:rsidP="00146CB4">
            <w:pPr>
              <w:spacing w:after="0" w:line="240" w:lineRule="auto"/>
              <w:rPr>
                <w:rFonts w:ascii="Cambria" w:eastAsia="Times New Roman" w:hAnsi="Cambria" w:cs="Times New Roman"/>
                <w:b/>
                <w:bCs/>
                <w:color w:val="FFFFFF"/>
              </w:rPr>
            </w:pPr>
            <w:r w:rsidRPr="00670FED">
              <w:rPr>
                <w:rFonts w:ascii="Cambria" w:eastAsia="Times New Roman" w:hAnsi="Cambria" w:cs="Times New Roman"/>
                <w:b/>
                <w:bCs/>
                <w:color w:val="FFFFFF"/>
              </w:rPr>
              <w:t>Total Revenues and Grants</w:t>
            </w:r>
          </w:p>
        </w:tc>
        <w:tc>
          <w:tcPr>
            <w:tcW w:w="960" w:type="dxa"/>
            <w:tcBorders>
              <w:top w:val="single" w:sz="8" w:space="0" w:color="auto"/>
              <w:left w:val="nil"/>
              <w:bottom w:val="single" w:sz="8" w:space="0" w:color="auto"/>
              <w:right w:val="nil"/>
            </w:tcBorders>
            <w:shd w:val="clear" w:color="000000" w:fill="000000"/>
            <w:noWrap/>
            <w:vAlign w:val="center"/>
            <w:hideMark/>
          </w:tcPr>
          <w:p w:rsidR="00092734" w:rsidRPr="00670FED" w:rsidRDefault="00092734" w:rsidP="00146CB4">
            <w:pPr>
              <w:spacing w:after="0" w:line="240" w:lineRule="auto"/>
              <w:rPr>
                <w:rFonts w:ascii="Cambria" w:eastAsia="Times New Roman" w:hAnsi="Cambria" w:cs="Times New Roman"/>
                <w:color w:val="FFFFFF"/>
              </w:rPr>
            </w:pPr>
            <w:r w:rsidRPr="00670FED">
              <w:rPr>
                <w:rFonts w:ascii="Cambria" w:eastAsia="Times New Roman" w:hAnsi="Cambria" w:cs="Times New Roman"/>
                <w:color w:val="FFFFFF"/>
              </w:rPr>
              <w:t> </w:t>
            </w:r>
          </w:p>
        </w:tc>
        <w:tc>
          <w:tcPr>
            <w:tcW w:w="1180" w:type="dxa"/>
            <w:tcBorders>
              <w:top w:val="single" w:sz="8" w:space="0" w:color="auto"/>
              <w:left w:val="nil"/>
              <w:bottom w:val="single" w:sz="8" w:space="0" w:color="auto"/>
              <w:right w:val="single" w:sz="8" w:space="0" w:color="auto"/>
            </w:tcBorders>
            <w:shd w:val="clear" w:color="000000" w:fill="000000"/>
            <w:noWrap/>
            <w:vAlign w:val="center"/>
            <w:hideMark/>
          </w:tcPr>
          <w:p w:rsidR="00092734" w:rsidRPr="00670FED" w:rsidRDefault="00092734" w:rsidP="00146CB4">
            <w:pPr>
              <w:spacing w:after="0" w:line="240" w:lineRule="auto"/>
              <w:rPr>
                <w:rFonts w:ascii="Cambria" w:eastAsia="Times New Roman" w:hAnsi="Cambria" w:cs="Times New Roman"/>
                <w:b/>
                <w:bCs/>
                <w:color w:val="FFFFFF"/>
                <w:sz w:val="24"/>
                <w:szCs w:val="24"/>
              </w:rPr>
            </w:pPr>
            <w:r w:rsidRPr="00670FED">
              <w:rPr>
                <w:rFonts w:ascii="Cambria" w:eastAsia="Times New Roman" w:hAnsi="Cambria" w:cs="Times New Roman"/>
                <w:b/>
                <w:bCs/>
                <w:color w:val="FFFFFF"/>
                <w:sz w:val="24"/>
                <w:szCs w:val="24"/>
              </w:rPr>
              <w:t xml:space="preserve">  430,783 </w:t>
            </w:r>
          </w:p>
        </w:tc>
      </w:tr>
    </w:tbl>
    <w:p w:rsidR="00092734" w:rsidRDefault="00092734" w:rsidP="00E05E00">
      <w:pPr>
        <w:spacing w:line="480" w:lineRule="auto"/>
        <w:ind w:firstLine="709"/>
        <w:rPr>
          <w:rFonts w:asciiTheme="majorHAnsi" w:hAnsiTheme="majorHAnsi" w:cstheme="majorBidi"/>
          <w:sz w:val="24"/>
          <w:szCs w:val="24"/>
        </w:rPr>
      </w:pPr>
    </w:p>
    <w:p w:rsidR="00790D3D" w:rsidRPr="009837A6" w:rsidRDefault="001E3F62" w:rsidP="00F53BD8">
      <w:pPr>
        <w:spacing w:line="480" w:lineRule="auto"/>
        <w:ind w:firstLine="709"/>
        <w:rPr>
          <w:rFonts w:asciiTheme="majorHAnsi" w:hAnsiTheme="majorHAnsi" w:cstheme="majorBidi"/>
          <w:b/>
          <w:bCs/>
          <w:sz w:val="24"/>
          <w:szCs w:val="24"/>
        </w:rPr>
      </w:pPr>
      <w:r>
        <w:rPr>
          <w:rFonts w:asciiTheme="majorHAnsi" w:hAnsiTheme="majorHAnsi" w:cstheme="majorBidi"/>
          <w:sz w:val="24"/>
          <w:szCs w:val="24"/>
        </w:rPr>
        <w:t xml:space="preserve">Local Tax Revenues have a 5-year average growth rate of </w:t>
      </w:r>
      <w:r w:rsidRPr="00931DE1">
        <w:rPr>
          <w:rFonts w:asciiTheme="majorHAnsi" w:hAnsiTheme="majorHAnsi" w:cstheme="majorBidi"/>
          <w:b/>
          <w:bCs/>
          <w:sz w:val="24"/>
          <w:szCs w:val="24"/>
        </w:rPr>
        <w:t>negative 1.3%</w:t>
      </w:r>
      <w:r>
        <w:rPr>
          <w:rFonts w:asciiTheme="majorHAnsi" w:hAnsiTheme="majorHAnsi" w:cstheme="majorBidi"/>
          <w:sz w:val="24"/>
          <w:szCs w:val="24"/>
        </w:rPr>
        <w:t>, which is due mainly to the country political crisis of 2011 which caused local tax revenues to decline by 12% since then</w:t>
      </w:r>
      <w:r w:rsidRPr="00AE2D11">
        <w:rPr>
          <w:rFonts w:asciiTheme="majorHAnsi" w:hAnsiTheme="majorHAnsi" w:cstheme="majorBidi"/>
          <w:sz w:val="24"/>
          <w:szCs w:val="24"/>
        </w:rPr>
        <w:t>.</w:t>
      </w:r>
      <w:r>
        <w:rPr>
          <w:rFonts w:asciiTheme="majorHAnsi" w:hAnsiTheme="majorHAnsi" w:cstheme="majorBidi"/>
          <w:sz w:val="24"/>
          <w:szCs w:val="24"/>
        </w:rPr>
        <w:t xml:space="preserve"> Local Authority main tax revenues come from a) Zakat Taxes (73%), b) Goods and Services Taxes (19%) and c) Income Taxes (6%).  </w:t>
      </w:r>
      <w:r w:rsidR="00701B74">
        <w:rPr>
          <w:rFonts w:asciiTheme="majorHAnsi" w:hAnsiTheme="majorHAnsi" w:cstheme="majorBidi"/>
          <w:sz w:val="24"/>
          <w:szCs w:val="24"/>
        </w:rPr>
        <w:t xml:space="preserve">From the </w:t>
      </w:r>
      <w:r w:rsidR="00581816">
        <w:rPr>
          <w:rFonts w:asciiTheme="majorHAnsi" w:hAnsiTheme="majorHAnsi" w:cstheme="majorBidi"/>
          <w:sz w:val="24"/>
          <w:szCs w:val="24"/>
        </w:rPr>
        <w:t>below</w:t>
      </w:r>
      <w:r w:rsidR="00701B74">
        <w:rPr>
          <w:rFonts w:asciiTheme="majorHAnsi" w:hAnsiTheme="majorHAnsi" w:cstheme="majorBidi"/>
          <w:sz w:val="24"/>
          <w:szCs w:val="24"/>
        </w:rPr>
        <w:t xml:space="preserve"> table, governorates vary in their revenue collection because of </w:t>
      </w:r>
      <w:r w:rsidR="00581816">
        <w:rPr>
          <w:rFonts w:asciiTheme="majorHAnsi" w:hAnsiTheme="majorHAnsi" w:cstheme="majorBidi"/>
          <w:sz w:val="24"/>
          <w:szCs w:val="24"/>
        </w:rPr>
        <w:t xml:space="preserve">their specific </w:t>
      </w:r>
      <w:r w:rsidR="00701B74">
        <w:rPr>
          <w:rFonts w:asciiTheme="majorHAnsi" w:hAnsiTheme="majorHAnsi" w:cstheme="majorBidi"/>
          <w:sz w:val="24"/>
          <w:szCs w:val="24"/>
        </w:rPr>
        <w:t xml:space="preserve">geographic and demographic </w:t>
      </w:r>
      <w:r w:rsidR="00581816">
        <w:rPr>
          <w:rFonts w:asciiTheme="majorHAnsi" w:hAnsiTheme="majorHAnsi" w:cstheme="majorBidi"/>
          <w:sz w:val="24"/>
          <w:szCs w:val="24"/>
        </w:rPr>
        <w:t>features</w:t>
      </w:r>
      <w:r w:rsidR="00701B74">
        <w:rPr>
          <w:rFonts w:asciiTheme="majorHAnsi" w:hAnsiTheme="majorHAnsi" w:cstheme="majorBidi"/>
          <w:sz w:val="24"/>
          <w:szCs w:val="24"/>
        </w:rPr>
        <w:t xml:space="preserve">, such as  </w:t>
      </w:r>
      <w:r w:rsidR="00581816">
        <w:rPr>
          <w:rFonts w:asciiTheme="majorHAnsi" w:hAnsiTheme="majorHAnsi" w:cstheme="majorBidi"/>
          <w:sz w:val="24"/>
          <w:szCs w:val="24"/>
        </w:rPr>
        <w:t xml:space="preserve">their population size and the size of </w:t>
      </w:r>
      <w:r w:rsidR="00581816">
        <w:rPr>
          <w:rFonts w:asciiTheme="majorHAnsi" w:hAnsiTheme="majorHAnsi" w:cstheme="majorBidi"/>
          <w:sz w:val="24"/>
          <w:szCs w:val="24"/>
          <w:lang w:val="en-GB"/>
        </w:rPr>
        <w:t xml:space="preserve">agricultural lands and </w:t>
      </w:r>
      <w:r w:rsidR="00F53BD8">
        <w:rPr>
          <w:rFonts w:asciiTheme="majorHAnsi" w:hAnsiTheme="majorHAnsi" w:cstheme="majorBidi"/>
          <w:sz w:val="24"/>
          <w:szCs w:val="24"/>
          <w:lang w:val="en-GB"/>
        </w:rPr>
        <w:t xml:space="preserve">agricultural </w:t>
      </w:r>
      <w:r w:rsidR="00581816">
        <w:rPr>
          <w:rFonts w:asciiTheme="majorHAnsi" w:hAnsiTheme="majorHAnsi" w:cstheme="majorBidi"/>
          <w:sz w:val="24"/>
          <w:szCs w:val="24"/>
          <w:lang w:val="en-GB"/>
        </w:rPr>
        <w:t>crops</w:t>
      </w:r>
      <w:r w:rsidR="00F53BD8">
        <w:rPr>
          <w:rFonts w:asciiTheme="majorHAnsi" w:hAnsiTheme="majorHAnsi" w:cstheme="majorBidi"/>
          <w:sz w:val="24"/>
          <w:szCs w:val="24"/>
          <w:lang w:val="en-GB"/>
        </w:rPr>
        <w:t xml:space="preserve"> (i.e. Qat)</w:t>
      </w:r>
      <w:r w:rsidR="00581816">
        <w:rPr>
          <w:rFonts w:asciiTheme="majorHAnsi" w:hAnsiTheme="majorHAnsi" w:cstheme="majorBidi"/>
          <w:sz w:val="24"/>
          <w:szCs w:val="24"/>
          <w:lang w:val="en-GB"/>
        </w:rPr>
        <w:t xml:space="preserve"> in which Zakat taxes are being </w:t>
      </w:r>
      <w:r w:rsidR="00F53BD8">
        <w:rPr>
          <w:rFonts w:asciiTheme="majorHAnsi" w:hAnsiTheme="majorHAnsi" w:cstheme="majorBidi"/>
          <w:sz w:val="24"/>
          <w:szCs w:val="24"/>
          <w:lang w:val="en-GB"/>
        </w:rPr>
        <w:t>directly related to them</w:t>
      </w:r>
      <w:r w:rsidR="00581816">
        <w:rPr>
          <w:rFonts w:asciiTheme="majorHAnsi" w:hAnsiTheme="majorHAnsi" w:cstheme="majorBidi"/>
          <w:sz w:val="24"/>
          <w:szCs w:val="24"/>
          <w:lang w:val="en-GB"/>
        </w:rPr>
        <w:t>.</w:t>
      </w:r>
      <w:r w:rsidR="00F53BD8">
        <w:rPr>
          <w:rFonts w:asciiTheme="majorHAnsi" w:hAnsiTheme="majorHAnsi" w:cstheme="majorBidi"/>
          <w:sz w:val="24"/>
          <w:szCs w:val="24"/>
          <w:lang w:val="en-GB"/>
        </w:rPr>
        <w:t xml:space="preserve"> </w:t>
      </w:r>
      <w:r w:rsidR="00581816">
        <w:rPr>
          <w:rFonts w:asciiTheme="majorHAnsi" w:hAnsiTheme="majorHAnsi" w:cstheme="majorBidi"/>
          <w:sz w:val="24"/>
          <w:szCs w:val="24"/>
          <w:lang w:val="en-GB"/>
        </w:rPr>
        <w:t xml:space="preserve"> </w:t>
      </w:r>
    </w:p>
    <w:tbl>
      <w:tblPr>
        <w:tblW w:w="11440" w:type="dxa"/>
        <w:tblInd w:w="95" w:type="dxa"/>
        <w:tblLook w:val="04A0"/>
      </w:tblPr>
      <w:tblGrid>
        <w:gridCol w:w="2680"/>
        <w:gridCol w:w="1570"/>
        <w:gridCol w:w="1635"/>
        <w:gridCol w:w="1395"/>
        <w:gridCol w:w="1300"/>
        <w:gridCol w:w="1380"/>
        <w:gridCol w:w="1480"/>
      </w:tblGrid>
      <w:tr w:rsidR="00CC2484" w:rsidRPr="00CC2484" w:rsidTr="00CC2484">
        <w:trPr>
          <w:trHeight w:val="330"/>
        </w:trPr>
        <w:tc>
          <w:tcPr>
            <w:tcW w:w="7280" w:type="dxa"/>
            <w:gridSpan w:val="4"/>
            <w:tcBorders>
              <w:top w:val="nil"/>
              <w:left w:val="nil"/>
              <w:bottom w:val="nil"/>
              <w:right w:val="nil"/>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2012 Fiscal Budget According to the Economic Classifications</w:t>
            </w:r>
          </w:p>
        </w:tc>
        <w:tc>
          <w:tcPr>
            <w:tcW w:w="1300" w:type="dxa"/>
            <w:tcBorders>
              <w:top w:val="nil"/>
              <w:left w:val="nil"/>
              <w:bottom w:val="nil"/>
              <w:right w:val="nil"/>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p>
        </w:tc>
        <w:tc>
          <w:tcPr>
            <w:tcW w:w="1380" w:type="dxa"/>
            <w:tcBorders>
              <w:top w:val="nil"/>
              <w:left w:val="nil"/>
              <w:bottom w:val="nil"/>
              <w:right w:val="nil"/>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p>
        </w:tc>
        <w:tc>
          <w:tcPr>
            <w:tcW w:w="1480" w:type="dxa"/>
            <w:tcBorders>
              <w:top w:val="nil"/>
              <w:left w:val="nil"/>
              <w:bottom w:val="nil"/>
              <w:right w:val="nil"/>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p>
        </w:tc>
      </w:tr>
      <w:tr w:rsidR="00CC2484" w:rsidRPr="00CC2484" w:rsidTr="00CC2484">
        <w:trPr>
          <w:trHeight w:val="570"/>
        </w:trPr>
        <w:tc>
          <w:tcPr>
            <w:tcW w:w="1144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rPr>
            </w:pPr>
            <w:r w:rsidRPr="00CC2484">
              <w:rPr>
                <w:rFonts w:ascii="Cambria" w:eastAsia="Times New Roman" w:hAnsi="Cambria" w:cs="Times New Roman"/>
                <w:b/>
                <w:bCs/>
                <w:color w:val="000000"/>
              </w:rPr>
              <w:t>Revenues</w:t>
            </w:r>
          </w:p>
        </w:tc>
      </w:tr>
      <w:tr w:rsidR="00CC2484" w:rsidRPr="00CC2484" w:rsidTr="00CC2484">
        <w:trPr>
          <w:trHeight w:val="229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rPr>
            </w:pPr>
            <w:r w:rsidRPr="00CC2484">
              <w:rPr>
                <w:rFonts w:ascii="Cambria" w:eastAsia="Times New Roman" w:hAnsi="Cambria" w:cs="Times New Roman"/>
                <w:b/>
                <w:bCs/>
                <w:color w:val="000000"/>
              </w:rPr>
              <w:t>Governorate</w:t>
            </w:r>
          </w:p>
        </w:tc>
        <w:tc>
          <w:tcPr>
            <w:tcW w:w="1570" w:type="dxa"/>
            <w:tcBorders>
              <w:top w:val="nil"/>
              <w:left w:val="nil"/>
              <w:bottom w:val="single" w:sz="8" w:space="0" w:color="auto"/>
              <w:right w:val="single" w:sz="4" w:space="0" w:color="auto"/>
            </w:tcBorders>
            <w:shd w:val="clear" w:color="auto" w:fill="auto"/>
            <w:textDirection w:val="btLr"/>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rPr>
            </w:pPr>
            <w:r w:rsidRPr="00CC2484">
              <w:rPr>
                <w:rFonts w:ascii="Cambria" w:eastAsia="Times New Roman" w:hAnsi="Cambria" w:cs="Times New Roman"/>
                <w:b/>
                <w:bCs/>
                <w:color w:val="000000"/>
              </w:rPr>
              <w:t>Ch1: Tax Revenues</w:t>
            </w:r>
          </w:p>
        </w:tc>
        <w:tc>
          <w:tcPr>
            <w:tcW w:w="1635" w:type="dxa"/>
            <w:tcBorders>
              <w:top w:val="nil"/>
              <w:left w:val="nil"/>
              <w:bottom w:val="single" w:sz="8" w:space="0" w:color="auto"/>
              <w:right w:val="single" w:sz="4" w:space="0" w:color="auto"/>
            </w:tcBorders>
            <w:shd w:val="clear" w:color="auto" w:fill="auto"/>
            <w:textDirection w:val="btLr"/>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rPr>
            </w:pPr>
            <w:r w:rsidRPr="00CC2484">
              <w:rPr>
                <w:rFonts w:ascii="Cambria" w:eastAsia="Times New Roman" w:hAnsi="Cambria" w:cs="Times New Roman"/>
                <w:b/>
                <w:bCs/>
                <w:color w:val="000000"/>
              </w:rPr>
              <w:t>Ch2: Grants</w:t>
            </w:r>
          </w:p>
        </w:tc>
        <w:tc>
          <w:tcPr>
            <w:tcW w:w="1395" w:type="dxa"/>
            <w:tcBorders>
              <w:top w:val="nil"/>
              <w:left w:val="nil"/>
              <w:bottom w:val="single" w:sz="8" w:space="0" w:color="auto"/>
              <w:right w:val="single" w:sz="4" w:space="0" w:color="auto"/>
            </w:tcBorders>
            <w:shd w:val="clear" w:color="auto" w:fill="auto"/>
            <w:textDirection w:val="btLr"/>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rPr>
            </w:pPr>
            <w:r w:rsidRPr="00CC2484">
              <w:rPr>
                <w:rFonts w:ascii="Cambria" w:eastAsia="Times New Roman" w:hAnsi="Cambria" w:cs="Times New Roman"/>
                <w:b/>
                <w:bCs/>
                <w:color w:val="000000"/>
              </w:rPr>
              <w:t>Ch3: Income From Properties, Sales Of Goods And Services And Various Transfers</w:t>
            </w:r>
          </w:p>
        </w:tc>
        <w:tc>
          <w:tcPr>
            <w:tcW w:w="1300" w:type="dxa"/>
            <w:tcBorders>
              <w:top w:val="nil"/>
              <w:left w:val="nil"/>
              <w:bottom w:val="single" w:sz="8" w:space="0" w:color="auto"/>
              <w:right w:val="single" w:sz="4" w:space="0" w:color="auto"/>
            </w:tcBorders>
            <w:shd w:val="clear" w:color="auto" w:fill="auto"/>
            <w:textDirection w:val="btLr"/>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rPr>
            </w:pPr>
            <w:r w:rsidRPr="00CC2484">
              <w:rPr>
                <w:rFonts w:ascii="Cambria" w:eastAsia="Times New Roman" w:hAnsi="Cambria" w:cs="Times New Roman"/>
                <w:b/>
                <w:bCs/>
                <w:color w:val="000000"/>
              </w:rPr>
              <w:t>Ch4: Disposal of non-financial Assets</w:t>
            </w:r>
          </w:p>
        </w:tc>
        <w:tc>
          <w:tcPr>
            <w:tcW w:w="1380" w:type="dxa"/>
            <w:tcBorders>
              <w:top w:val="nil"/>
              <w:left w:val="nil"/>
              <w:bottom w:val="single" w:sz="8" w:space="0" w:color="auto"/>
              <w:right w:val="single" w:sz="8" w:space="0" w:color="auto"/>
            </w:tcBorders>
            <w:shd w:val="clear" w:color="auto" w:fill="auto"/>
            <w:textDirection w:val="btLr"/>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rPr>
            </w:pPr>
            <w:r w:rsidRPr="00CC2484">
              <w:rPr>
                <w:rFonts w:ascii="Cambria" w:eastAsia="Times New Roman" w:hAnsi="Cambria" w:cs="Times New Roman"/>
                <w:b/>
                <w:bCs/>
                <w:color w:val="000000"/>
              </w:rPr>
              <w:t>Ch5: Disposal of non-financial Assets and Deduction of Liabilities</w:t>
            </w:r>
          </w:p>
        </w:tc>
        <w:tc>
          <w:tcPr>
            <w:tcW w:w="1480" w:type="dxa"/>
            <w:tcBorders>
              <w:top w:val="nil"/>
              <w:left w:val="nil"/>
              <w:bottom w:val="single" w:sz="8" w:space="0" w:color="auto"/>
              <w:right w:val="single" w:sz="8" w:space="0" w:color="auto"/>
            </w:tcBorders>
            <w:shd w:val="clear" w:color="auto" w:fill="auto"/>
            <w:textDirection w:val="btLr"/>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rPr>
            </w:pPr>
            <w:r w:rsidRPr="00CC2484">
              <w:rPr>
                <w:rFonts w:ascii="Cambria" w:eastAsia="Times New Roman" w:hAnsi="Cambria" w:cs="Times New Roman"/>
                <w:b/>
                <w:bCs/>
                <w:color w:val="000000"/>
              </w:rPr>
              <w:t>Total Revenues &amp;Grants</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000000" w:fill="BFBFBF"/>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Sana'a City</w:t>
            </w:r>
          </w:p>
        </w:tc>
        <w:tc>
          <w:tcPr>
            <w:tcW w:w="157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4,333.0 </w:t>
            </w:r>
          </w:p>
        </w:tc>
        <w:tc>
          <w:tcPr>
            <w:tcW w:w="163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35,496.5 </w:t>
            </w:r>
          </w:p>
        </w:tc>
        <w:tc>
          <w:tcPr>
            <w:tcW w:w="139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1,272.1 </w:t>
            </w:r>
          </w:p>
        </w:tc>
        <w:tc>
          <w:tcPr>
            <w:tcW w:w="130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20.0 </w:t>
            </w:r>
          </w:p>
        </w:tc>
        <w:tc>
          <w:tcPr>
            <w:tcW w:w="138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41,122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Sana'a Governorate</w:t>
            </w:r>
          </w:p>
        </w:tc>
        <w:tc>
          <w:tcPr>
            <w:tcW w:w="157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469.7 </w:t>
            </w:r>
          </w:p>
        </w:tc>
        <w:tc>
          <w:tcPr>
            <w:tcW w:w="163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19,288.2 </w:t>
            </w:r>
          </w:p>
        </w:tc>
        <w:tc>
          <w:tcPr>
            <w:tcW w:w="139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260.0 </w:t>
            </w:r>
          </w:p>
        </w:tc>
        <w:tc>
          <w:tcPr>
            <w:tcW w:w="130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48.7 </w:t>
            </w:r>
          </w:p>
        </w:tc>
        <w:tc>
          <w:tcPr>
            <w:tcW w:w="138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20,067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000000" w:fill="BFBFBF"/>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Aden</w:t>
            </w:r>
          </w:p>
        </w:tc>
        <w:tc>
          <w:tcPr>
            <w:tcW w:w="157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596.9 </w:t>
            </w:r>
          </w:p>
        </w:tc>
        <w:tc>
          <w:tcPr>
            <w:tcW w:w="163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25,599.4 </w:t>
            </w:r>
          </w:p>
        </w:tc>
        <w:tc>
          <w:tcPr>
            <w:tcW w:w="139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1,078.1 </w:t>
            </w:r>
          </w:p>
        </w:tc>
        <w:tc>
          <w:tcPr>
            <w:tcW w:w="130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1.1 </w:t>
            </w:r>
          </w:p>
        </w:tc>
        <w:tc>
          <w:tcPr>
            <w:tcW w:w="138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27,275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Taiz</w:t>
            </w:r>
          </w:p>
        </w:tc>
        <w:tc>
          <w:tcPr>
            <w:tcW w:w="157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821.6 </w:t>
            </w:r>
          </w:p>
        </w:tc>
        <w:tc>
          <w:tcPr>
            <w:tcW w:w="163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49,803.0 </w:t>
            </w:r>
          </w:p>
        </w:tc>
        <w:tc>
          <w:tcPr>
            <w:tcW w:w="139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901.5 </w:t>
            </w:r>
          </w:p>
        </w:tc>
        <w:tc>
          <w:tcPr>
            <w:tcW w:w="130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0.9 </w:t>
            </w:r>
          </w:p>
        </w:tc>
        <w:tc>
          <w:tcPr>
            <w:tcW w:w="138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51,527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000000" w:fill="BFBFBF"/>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Hudaidah</w:t>
            </w:r>
          </w:p>
        </w:tc>
        <w:tc>
          <w:tcPr>
            <w:tcW w:w="157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646.2 </w:t>
            </w:r>
          </w:p>
        </w:tc>
        <w:tc>
          <w:tcPr>
            <w:tcW w:w="163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31,025.6 </w:t>
            </w:r>
          </w:p>
        </w:tc>
        <w:tc>
          <w:tcPr>
            <w:tcW w:w="139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389.8 </w:t>
            </w:r>
          </w:p>
        </w:tc>
        <w:tc>
          <w:tcPr>
            <w:tcW w:w="130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32,062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lastRenderedPageBreak/>
              <w:t>Hadhramot</w:t>
            </w:r>
          </w:p>
        </w:tc>
        <w:tc>
          <w:tcPr>
            <w:tcW w:w="157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397.3 </w:t>
            </w:r>
          </w:p>
        </w:tc>
        <w:tc>
          <w:tcPr>
            <w:tcW w:w="163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30,967.8 </w:t>
            </w:r>
          </w:p>
        </w:tc>
        <w:tc>
          <w:tcPr>
            <w:tcW w:w="139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365.8 </w:t>
            </w:r>
          </w:p>
        </w:tc>
        <w:tc>
          <w:tcPr>
            <w:tcW w:w="130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4.3 </w:t>
            </w:r>
          </w:p>
        </w:tc>
        <w:tc>
          <w:tcPr>
            <w:tcW w:w="138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31,735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000000" w:fill="BFBFBF"/>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Ibb</w:t>
            </w:r>
          </w:p>
        </w:tc>
        <w:tc>
          <w:tcPr>
            <w:tcW w:w="157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534.9 </w:t>
            </w:r>
          </w:p>
        </w:tc>
        <w:tc>
          <w:tcPr>
            <w:tcW w:w="163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35,016.8 </w:t>
            </w:r>
          </w:p>
        </w:tc>
        <w:tc>
          <w:tcPr>
            <w:tcW w:w="139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507.9 </w:t>
            </w:r>
          </w:p>
        </w:tc>
        <w:tc>
          <w:tcPr>
            <w:tcW w:w="130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36,060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Abyan</w:t>
            </w:r>
          </w:p>
        </w:tc>
        <w:tc>
          <w:tcPr>
            <w:tcW w:w="157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84.0 </w:t>
            </w:r>
          </w:p>
        </w:tc>
        <w:tc>
          <w:tcPr>
            <w:tcW w:w="163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17,100.7 </w:t>
            </w:r>
          </w:p>
        </w:tc>
        <w:tc>
          <w:tcPr>
            <w:tcW w:w="139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105.5 </w:t>
            </w:r>
          </w:p>
        </w:tc>
        <w:tc>
          <w:tcPr>
            <w:tcW w:w="130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17,290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000000" w:fill="BFBFBF"/>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Dhamar</w:t>
            </w:r>
          </w:p>
        </w:tc>
        <w:tc>
          <w:tcPr>
            <w:tcW w:w="157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368.1 </w:t>
            </w:r>
          </w:p>
        </w:tc>
        <w:tc>
          <w:tcPr>
            <w:tcW w:w="163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23,762.7 </w:t>
            </w:r>
          </w:p>
        </w:tc>
        <w:tc>
          <w:tcPr>
            <w:tcW w:w="139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279.1 </w:t>
            </w:r>
          </w:p>
        </w:tc>
        <w:tc>
          <w:tcPr>
            <w:tcW w:w="130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24,410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Shabwah</w:t>
            </w:r>
          </w:p>
        </w:tc>
        <w:tc>
          <w:tcPr>
            <w:tcW w:w="157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37.5 </w:t>
            </w:r>
          </w:p>
        </w:tc>
        <w:tc>
          <w:tcPr>
            <w:tcW w:w="163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13,789.2 </w:t>
            </w:r>
          </w:p>
        </w:tc>
        <w:tc>
          <w:tcPr>
            <w:tcW w:w="139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121.7 </w:t>
            </w:r>
          </w:p>
        </w:tc>
        <w:tc>
          <w:tcPr>
            <w:tcW w:w="130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13,948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000000" w:fill="BFBFBF"/>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Hajjah</w:t>
            </w:r>
          </w:p>
        </w:tc>
        <w:tc>
          <w:tcPr>
            <w:tcW w:w="157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445.0 </w:t>
            </w:r>
          </w:p>
        </w:tc>
        <w:tc>
          <w:tcPr>
            <w:tcW w:w="163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21,433.1 </w:t>
            </w:r>
          </w:p>
        </w:tc>
        <w:tc>
          <w:tcPr>
            <w:tcW w:w="139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196.5 </w:t>
            </w:r>
          </w:p>
        </w:tc>
        <w:tc>
          <w:tcPr>
            <w:tcW w:w="130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22,075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AL-Baidha</w:t>
            </w:r>
          </w:p>
        </w:tc>
        <w:tc>
          <w:tcPr>
            <w:tcW w:w="157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264.4 </w:t>
            </w:r>
          </w:p>
        </w:tc>
        <w:tc>
          <w:tcPr>
            <w:tcW w:w="163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10,626.2 </w:t>
            </w:r>
          </w:p>
        </w:tc>
        <w:tc>
          <w:tcPr>
            <w:tcW w:w="139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208.2 </w:t>
            </w:r>
          </w:p>
        </w:tc>
        <w:tc>
          <w:tcPr>
            <w:tcW w:w="130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0.5 </w:t>
            </w:r>
          </w:p>
        </w:tc>
        <w:tc>
          <w:tcPr>
            <w:tcW w:w="138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11,099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000000" w:fill="BFBFBF"/>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Lahj</w:t>
            </w:r>
          </w:p>
        </w:tc>
        <w:tc>
          <w:tcPr>
            <w:tcW w:w="157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129.3 </w:t>
            </w:r>
          </w:p>
        </w:tc>
        <w:tc>
          <w:tcPr>
            <w:tcW w:w="163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21,922.0 </w:t>
            </w:r>
          </w:p>
        </w:tc>
        <w:tc>
          <w:tcPr>
            <w:tcW w:w="139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145.4 </w:t>
            </w:r>
          </w:p>
        </w:tc>
        <w:tc>
          <w:tcPr>
            <w:tcW w:w="130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22,197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Sa'adah</w:t>
            </w:r>
          </w:p>
        </w:tc>
        <w:tc>
          <w:tcPr>
            <w:tcW w:w="157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265.9 </w:t>
            </w:r>
          </w:p>
        </w:tc>
        <w:tc>
          <w:tcPr>
            <w:tcW w:w="163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10,052.4 </w:t>
            </w:r>
          </w:p>
        </w:tc>
        <w:tc>
          <w:tcPr>
            <w:tcW w:w="139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98.9 </w:t>
            </w:r>
          </w:p>
        </w:tc>
        <w:tc>
          <w:tcPr>
            <w:tcW w:w="130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10,417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000000" w:fill="BFBFBF"/>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AL-Mahweet</w:t>
            </w:r>
          </w:p>
        </w:tc>
        <w:tc>
          <w:tcPr>
            <w:tcW w:w="157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98.5 </w:t>
            </w:r>
          </w:p>
        </w:tc>
        <w:tc>
          <w:tcPr>
            <w:tcW w:w="163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11,203.8 </w:t>
            </w:r>
          </w:p>
        </w:tc>
        <w:tc>
          <w:tcPr>
            <w:tcW w:w="139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83.2 </w:t>
            </w:r>
          </w:p>
        </w:tc>
        <w:tc>
          <w:tcPr>
            <w:tcW w:w="130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11,386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AL-Maharah</w:t>
            </w:r>
          </w:p>
        </w:tc>
        <w:tc>
          <w:tcPr>
            <w:tcW w:w="157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45.7 </w:t>
            </w:r>
          </w:p>
        </w:tc>
        <w:tc>
          <w:tcPr>
            <w:tcW w:w="163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4,201.3 </w:t>
            </w:r>
          </w:p>
        </w:tc>
        <w:tc>
          <w:tcPr>
            <w:tcW w:w="139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59.9 </w:t>
            </w:r>
          </w:p>
        </w:tc>
        <w:tc>
          <w:tcPr>
            <w:tcW w:w="130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4,307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000000" w:fill="BFBFBF"/>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Ma'arib</w:t>
            </w:r>
          </w:p>
        </w:tc>
        <w:tc>
          <w:tcPr>
            <w:tcW w:w="157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84.0 </w:t>
            </w:r>
          </w:p>
        </w:tc>
        <w:tc>
          <w:tcPr>
            <w:tcW w:w="163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9,217.5 </w:t>
            </w:r>
          </w:p>
        </w:tc>
        <w:tc>
          <w:tcPr>
            <w:tcW w:w="139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99.0 </w:t>
            </w:r>
          </w:p>
        </w:tc>
        <w:tc>
          <w:tcPr>
            <w:tcW w:w="130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9,401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AL-Jawf</w:t>
            </w:r>
          </w:p>
        </w:tc>
        <w:tc>
          <w:tcPr>
            <w:tcW w:w="157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21.6 </w:t>
            </w:r>
          </w:p>
        </w:tc>
        <w:tc>
          <w:tcPr>
            <w:tcW w:w="163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6,636.9 </w:t>
            </w:r>
          </w:p>
        </w:tc>
        <w:tc>
          <w:tcPr>
            <w:tcW w:w="139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20.9 </w:t>
            </w:r>
          </w:p>
        </w:tc>
        <w:tc>
          <w:tcPr>
            <w:tcW w:w="130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6,679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000000" w:fill="BFBFBF"/>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Amran</w:t>
            </w:r>
          </w:p>
        </w:tc>
        <w:tc>
          <w:tcPr>
            <w:tcW w:w="157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361.4 </w:t>
            </w:r>
          </w:p>
        </w:tc>
        <w:tc>
          <w:tcPr>
            <w:tcW w:w="163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16,368.3 </w:t>
            </w:r>
          </w:p>
        </w:tc>
        <w:tc>
          <w:tcPr>
            <w:tcW w:w="139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188.6 </w:t>
            </w:r>
          </w:p>
        </w:tc>
        <w:tc>
          <w:tcPr>
            <w:tcW w:w="130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16,918 </w:t>
            </w:r>
          </w:p>
        </w:tc>
      </w:tr>
      <w:tr w:rsidR="00CC2484" w:rsidRPr="00CC2484" w:rsidTr="00CC2484">
        <w:trPr>
          <w:trHeight w:val="315"/>
        </w:trPr>
        <w:tc>
          <w:tcPr>
            <w:tcW w:w="2680" w:type="dxa"/>
            <w:tcBorders>
              <w:top w:val="nil"/>
              <w:left w:val="single" w:sz="8" w:space="0" w:color="auto"/>
              <w:bottom w:val="single" w:sz="4" w:space="0" w:color="auto"/>
              <w:right w:val="single" w:sz="8" w:space="0" w:color="auto"/>
            </w:tcBorders>
            <w:shd w:val="clear" w:color="auto" w:fill="auto"/>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AL-Dhalia'a</w:t>
            </w:r>
          </w:p>
        </w:tc>
        <w:tc>
          <w:tcPr>
            <w:tcW w:w="157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206.9 </w:t>
            </w:r>
          </w:p>
        </w:tc>
        <w:tc>
          <w:tcPr>
            <w:tcW w:w="163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10,599.4 </w:t>
            </w:r>
          </w:p>
        </w:tc>
        <w:tc>
          <w:tcPr>
            <w:tcW w:w="1395"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182.1 </w:t>
            </w:r>
          </w:p>
        </w:tc>
        <w:tc>
          <w:tcPr>
            <w:tcW w:w="130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auto" w:fill="auto"/>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10,988 </w:t>
            </w:r>
          </w:p>
        </w:tc>
      </w:tr>
      <w:tr w:rsidR="00CC2484" w:rsidRPr="00CC2484" w:rsidTr="00CC2484">
        <w:trPr>
          <w:trHeight w:val="330"/>
        </w:trPr>
        <w:tc>
          <w:tcPr>
            <w:tcW w:w="2680" w:type="dxa"/>
            <w:tcBorders>
              <w:top w:val="nil"/>
              <w:left w:val="single" w:sz="8" w:space="0" w:color="auto"/>
              <w:bottom w:val="nil"/>
              <w:right w:val="single" w:sz="8" w:space="0" w:color="auto"/>
            </w:tcBorders>
            <w:shd w:val="clear" w:color="000000" w:fill="BFBFBF"/>
            <w:noWrap/>
            <w:vAlign w:val="center"/>
            <w:hideMark/>
          </w:tcPr>
          <w:p w:rsidR="00CC2484" w:rsidRPr="00CC2484" w:rsidRDefault="00CC2484" w:rsidP="00CC2484">
            <w:pPr>
              <w:spacing w:after="0" w:line="240" w:lineRule="auto"/>
              <w:jc w:val="center"/>
              <w:rPr>
                <w:rFonts w:ascii="Cambria" w:eastAsia="Times New Roman" w:hAnsi="Cambria" w:cs="Times New Roman"/>
                <w:b/>
                <w:bCs/>
                <w:color w:val="000000"/>
                <w:sz w:val="24"/>
                <w:szCs w:val="24"/>
              </w:rPr>
            </w:pPr>
            <w:r w:rsidRPr="00CC2484">
              <w:rPr>
                <w:rFonts w:ascii="Cambria" w:eastAsia="Times New Roman" w:hAnsi="Cambria" w:cs="Times New Roman"/>
                <w:b/>
                <w:bCs/>
                <w:color w:val="000000"/>
                <w:sz w:val="24"/>
                <w:szCs w:val="24"/>
              </w:rPr>
              <w:t>Raima</w:t>
            </w:r>
          </w:p>
        </w:tc>
        <w:tc>
          <w:tcPr>
            <w:tcW w:w="157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43.9 </w:t>
            </w:r>
          </w:p>
        </w:tc>
        <w:tc>
          <w:tcPr>
            <w:tcW w:w="163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7,612.3 </w:t>
            </w:r>
          </w:p>
        </w:tc>
        <w:tc>
          <w:tcPr>
            <w:tcW w:w="1395"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92.3 </w:t>
            </w:r>
          </w:p>
        </w:tc>
        <w:tc>
          <w:tcPr>
            <w:tcW w:w="130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380" w:type="dxa"/>
            <w:tcBorders>
              <w:top w:val="nil"/>
              <w:left w:val="nil"/>
              <w:bottom w:val="single" w:sz="4" w:space="0" w:color="auto"/>
              <w:right w:val="single" w:sz="4"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color w:val="000000"/>
              </w:rPr>
            </w:pPr>
            <w:r w:rsidRPr="00CC2484">
              <w:rPr>
                <w:rFonts w:ascii="Cambria" w:eastAsia="Times New Roman" w:hAnsi="Cambria" w:cs="Times New Roman"/>
                <w:color w:val="000000"/>
              </w:rPr>
              <w:t xml:space="preserve">                        -   </w:t>
            </w:r>
          </w:p>
        </w:tc>
        <w:tc>
          <w:tcPr>
            <w:tcW w:w="1480" w:type="dxa"/>
            <w:tcBorders>
              <w:top w:val="nil"/>
              <w:left w:val="nil"/>
              <w:bottom w:val="single" w:sz="4" w:space="0" w:color="auto"/>
              <w:right w:val="single" w:sz="8" w:space="0" w:color="auto"/>
            </w:tcBorders>
            <w:shd w:val="clear" w:color="000000" w:fill="BFBFBF"/>
            <w:noWrap/>
            <w:vAlign w:val="bottom"/>
            <w:hideMark/>
          </w:tcPr>
          <w:p w:rsidR="00CC2484" w:rsidRPr="00CC2484" w:rsidRDefault="00CC2484" w:rsidP="00CC2484">
            <w:pPr>
              <w:spacing w:after="0" w:line="240" w:lineRule="auto"/>
              <w:rPr>
                <w:rFonts w:ascii="Cambria" w:eastAsia="Times New Roman" w:hAnsi="Cambria" w:cs="Times New Roman"/>
                <w:b/>
                <w:bCs/>
                <w:color w:val="000000"/>
              </w:rPr>
            </w:pPr>
            <w:r w:rsidRPr="00CC2484">
              <w:rPr>
                <w:rFonts w:ascii="Cambria" w:eastAsia="Times New Roman" w:hAnsi="Cambria" w:cs="Times New Roman"/>
                <w:b/>
                <w:bCs/>
                <w:color w:val="000000"/>
              </w:rPr>
              <w:t xml:space="preserve">                7,749 </w:t>
            </w:r>
          </w:p>
        </w:tc>
      </w:tr>
      <w:tr w:rsidR="00CC2484" w:rsidRPr="00CC2484" w:rsidTr="00CC2484">
        <w:trPr>
          <w:trHeight w:val="300"/>
        </w:trPr>
        <w:tc>
          <w:tcPr>
            <w:tcW w:w="2680" w:type="dxa"/>
            <w:tcBorders>
              <w:top w:val="single" w:sz="8" w:space="0" w:color="auto"/>
              <w:left w:val="single" w:sz="8" w:space="0" w:color="auto"/>
              <w:bottom w:val="single" w:sz="8" w:space="0" w:color="auto"/>
              <w:right w:val="nil"/>
            </w:tcBorders>
            <w:shd w:val="clear" w:color="000000" w:fill="000000"/>
            <w:noWrap/>
            <w:vAlign w:val="bottom"/>
            <w:hideMark/>
          </w:tcPr>
          <w:p w:rsidR="00CC2484" w:rsidRPr="00CC2484" w:rsidRDefault="00CC2484" w:rsidP="00CC2484">
            <w:pPr>
              <w:spacing w:after="0" w:line="240" w:lineRule="auto"/>
              <w:jc w:val="center"/>
              <w:rPr>
                <w:rFonts w:ascii="Cambria" w:eastAsia="Times New Roman" w:hAnsi="Cambria" w:cs="Times New Roman"/>
                <w:b/>
                <w:bCs/>
                <w:color w:val="FFFFFF"/>
              </w:rPr>
            </w:pPr>
            <w:r w:rsidRPr="00CC2484">
              <w:rPr>
                <w:rFonts w:ascii="Cambria" w:eastAsia="Times New Roman" w:hAnsi="Cambria" w:cs="Times New Roman"/>
                <w:b/>
                <w:bCs/>
                <w:color w:val="FFFFFF"/>
              </w:rPr>
              <w:t>Total</w:t>
            </w:r>
          </w:p>
        </w:tc>
        <w:tc>
          <w:tcPr>
            <w:tcW w:w="1570" w:type="dxa"/>
            <w:tcBorders>
              <w:top w:val="nil"/>
              <w:left w:val="single" w:sz="8" w:space="0" w:color="auto"/>
              <w:bottom w:val="single" w:sz="8" w:space="0" w:color="auto"/>
              <w:right w:val="single" w:sz="4" w:space="0" w:color="auto"/>
            </w:tcBorders>
            <w:shd w:val="clear" w:color="000000" w:fill="000000"/>
            <w:noWrap/>
            <w:vAlign w:val="bottom"/>
            <w:hideMark/>
          </w:tcPr>
          <w:p w:rsidR="00CC2484" w:rsidRPr="00CC2484" w:rsidRDefault="00CC2484" w:rsidP="00CC2484">
            <w:pPr>
              <w:spacing w:after="0" w:line="240" w:lineRule="auto"/>
              <w:rPr>
                <w:rFonts w:ascii="Cambria" w:eastAsia="Times New Roman" w:hAnsi="Cambria" w:cs="Times New Roman"/>
                <w:b/>
                <w:bCs/>
                <w:color w:val="FFFFFF"/>
              </w:rPr>
            </w:pPr>
            <w:r w:rsidRPr="00CC2484">
              <w:rPr>
                <w:rFonts w:ascii="Cambria" w:eastAsia="Times New Roman" w:hAnsi="Cambria" w:cs="Times New Roman"/>
                <w:b/>
                <w:bCs/>
                <w:color w:val="FFFFFF"/>
              </w:rPr>
              <w:t xml:space="preserve">     10,256.0 </w:t>
            </w:r>
          </w:p>
        </w:tc>
        <w:tc>
          <w:tcPr>
            <w:tcW w:w="1635" w:type="dxa"/>
            <w:tcBorders>
              <w:top w:val="nil"/>
              <w:left w:val="nil"/>
              <w:bottom w:val="single" w:sz="8" w:space="0" w:color="auto"/>
              <w:right w:val="single" w:sz="4" w:space="0" w:color="auto"/>
            </w:tcBorders>
            <w:shd w:val="clear" w:color="000000" w:fill="000000"/>
            <w:noWrap/>
            <w:vAlign w:val="bottom"/>
            <w:hideMark/>
          </w:tcPr>
          <w:p w:rsidR="00CC2484" w:rsidRPr="00CC2484" w:rsidRDefault="00CC2484" w:rsidP="00CC2484">
            <w:pPr>
              <w:spacing w:after="0" w:line="240" w:lineRule="auto"/>
              <w:rPr>
                <w:rFonts w:ascii="Cambria" w:eastAsia="Times New Roman" w:hAnsi="Cambria" w:cs="Times New Roman"/>
                <w:b/>
                <w:bCs/>
                <w:color w:val="FFFFFF"/>
              </w:rPr>
            </w:pPr>
            <w:r w:rsidRPr="00CC2484">
              <w:rPr>
                <w:rFonts w:ascii="Cambria" w:eastAsia="Times New Roman" w:hAnsi="Cambria" w:cs="Times New Roman"/>
                <w:b/>
                <w:bCs/>
                <w:color w:val="FFFFFF"/>
              </w:rPr>
              <w:t xml:space="preserve">   411,723.1 </w:t>
            </w:r>
          </w:p>
        </w:tc>
        <w:tc>
          <w:tcPr>
            <w:tcW w:w="1395" w:type="dxa"/>
            <w:tcBorders>
              <w:top w:val="nil"/>
              <w:left w:val="nil"/>
              <w:bottom w:val="single" w:sz="8" w:space="0" w:color="auto"/>
              <w:right w:val="single" w:sz="4" w:space="0" w:color="auto"/>
            </w:tcBorders>
            <w:shd w:val="clear" w:color="000000" w:fill="000000"/>
            <w:noWrap/>
            <w:vAlign w:val="bottom"/>
            <w:hideMark/>
          </w:tcPr>
          <w:p w:rsidR="00CC2484" w:rsidRPr="00CC2484" w:rsidRDefault="00CC2484" w:rsidP="00CC2484">
            <w:pPr>
              <w:spacing w:after="0" w:line="240" w:lineRule="auto"/>
              <w:rPr>
                <w:rFonts w:ascii="Cambria" w:eastAsia="Times New Roman" w:hAnsi="Cambria" w:cs="Times New Roman"/>
                <w:b/>
                <w:bCs/>
                <w:color w:val="FFFFFF"/>
              </w:rPr>
            </w:pPr>
            <w:r w:rsidRPr="00CC2484">
              <w:rPr>
                <w:rFonts w:ascii="Cambria" w:eastAsia="Times New Roman" w:hAnsi="Cambria" w:cs="Times New Roman"/>
                <w:b/>
                <w:bCs/>
                <w:color w:val="FFFFFF"/>
              </w:rPr>
              <w:t xml:space="preserve">         6,656 </w:t>
            </w:r>
          </w:p>
        </w:tc>
        <w:tc>
          <w:tcPr>
            <w:tcW w:w="1300" w:type="dxa"/>
            <w:tcBorders>
              <w:top w:val="nil"/>
              <w:left w:val="nil"/>
              <w:bottom w:val="single" w:sz="8" w:space="0" w:color="auto"/>
              <w:right w:val="single" w:sz="4" w:space="0" w:color="auto"/>
            </w:tcBorders>
            <w:shd w:val="clear" w:color="000000" w:fill="000000"/>
            <w:noWrap/>
            <w:vAlign w:val="bottom"/>
            <w:hideMark/>
          </w:tcPr>
          <w:p w:rsidR="00CC2484" w:rsidRPr="00CC2484" w:rsidRDefault="00CC2484" w:rsidP="00CC2484">
            <w:pPr>
              <w:spacing w:after="0" w:line="240" w:lineRule="auto"/>
              <w:rPr>
                <w:rFonts w:ascii="Cambria" w:eastAsia="Times New Roman" w:hAnsi="Cambria" w:cs="Times New Roman"/>
                <w:b/>
                <w:bCs/>
                <w:color w:val="FFFFFF"/>
              </w:rPr>
            </w:pPr>
            <w:r w:rsidRPr="00CC2484">
              <w:rPr>
                <w:rFonts w:ascii="Cambria" w:eastAsia="Times New Roman" w:hAnsi="Cambria" w:cs="Times New Roman"/>
                <w:b/>
                <w:bCs/>
                <w:color w:val="FFFFFF"/>
              </w:rPr>
              <w:t xml:space="preserve">               75.5 </w:t>
            </w:r>
          </w:p>
        </w:tc>
        <w:tc>
          <w:tcPr>
            <w:tcW w:w="1380" w:type="dxa"/>
            <w:tcBorders>
              <w:top w:val="nil"/>
              <w:left w:val="nil"/>
              <w:bottom w:val="single" w:sz="8" w:space="0" w:color="auto"/>
              <w:right w:val="single" w:sz="4" w:space="0" w:color="auto"/>
            </w:tcBorders>
            <w:shd w:val="clear" w:color="000000" w:fill="000000"/>
            <w:noWrap/>
            <w:vAlign w:val="bottom"/>
            <w:hideMark/>
          </w:tcPr>
          <w:p w:rsidR="00CC2484" w:rsidRPr="00CC2484" w:rsidRDefault="00CC2484" w:rsidP="00CC2484">
            <w:pPr>
              <w:spacing w:after="0" w:line="240" w:lineRule="auto"/>
              <w:rPr>
                <w:rFonts w:ascii="Cambria" w:eastAsia="Times New Roman" w:hAnsi="Cambria" w:cs="Times New Roman"/>
                <w:b/>
                <w:bCs/>
                <w:color w:val="FFFFFF"/>
              </w:rPr>
            </w:pPr>
            <w:r w:rsidRPr="00CC2484">
              <w:rPr>
                <w:rFonts w:ascii="Cambria" w:eastAsia="Times New Roman" w:hAnsi="Cambria" w:cs="Times New Roman"/>
                <w:b/>
                <w:bCs/>
                <w:color w:val="FFFFFF"/>
              </w:rPr>
              <w:t xml:space="preserve">                       -   </w:t>
            </w:r>
          </w:p>
        </w:tc>
        <w:tc>
          <w:tcPr>
            <w:tcW w:w="1480" w:type="dxa"/>
            <w:tcBorders>
              <w:top w:val="nil"/>
              <w:left w:val="nil"/>
              <w:bottom w:val="single" w:sz="8" w:space="0" w:color="auto"/>
              <w:right w:val="single" w:sz="8" w:space="0" w:color="auto"/>
            </w:tcBorders>
            <w:shd w:val="clear" w:color="000000" w:fill="000000"/>
            <w:noWrap/>
            <w:vAlign w:val="bottom"/>
            <w:hideMark/>
          </w:tcPr>
          <w:p w:rsidR="00CC2484" w:rsidRPr="00CC2484" w:rsidRDefault="00CC2484" w:rsidP="00CC2484">
            <w:pPr>
              <w:spacing w:after="0" w:line="240" w:lineRule="auto"/>
              <w:rPr>
                <w:rFonts w:ascii="Cambria" w:eastAsia="Times New Roman" w:hAnsi="Cambria" w:cs="Times New Roman"/>
                <w:b/>
                <w:bCs/>
                <w:color w:val="FFFFFF"/>
              </w:rPr>
            </w:pPr>
            <w:r w:rsidRPr="00CC2484">
              <w:rPr>
                <w:rFonts w:ascii="Cambria" w:eastAsia="Times New Roman" w:hAnsi="Cambria" w:cs="Times New Roman"/>
                <w:b/>
                <w:bCs/>
                <w:color w:val="FFFFFF"/>
              </w:rPr>
              <w:t xml:space="preserve">      428,711.0 </w:t>
            </w:r>
          </w:p>
        </w:tc>
      </w:tr>
    </w:tbl>
    <w:p w:rsidR="00CC2484" w:rsidRDefault="00CC2484" w:rsidP="00E31628">
      <w:pPr>
        <w:spacing w:line="480" w:lineRule="auto"/>
        <w:ind w:firstLine="851"/>
        <w:rPr>
          <w:rFonts w:asciiTheme="majorHAnsi" w:hAnsiTheme="majorHAnsi" w:cstheme="majorBidi"/>
          <w:sz w:val="24"/>
          <w:szCs w:val="24"/>
        </w:rPr>
      </w:pPr>
    </w:p>
    <w:tbl>
      <w:tblPr>
        <w:tblW w:w="10059" w:type="dxa"/>
        <w:tblInd w:w="98" w:type="dxa"/>
        <w:tblLook w:val="04A0"/>
      </w:tblPr>
      <w:tblGrid>
        <w:gridCol w:w="2322"/>
        <w:gridCol w:w="1359"/>
        <w:gridCol w:w="1263"/>
        <w:gridCol w:w="1162"/>
        <w:gridCol w:w="1262"/>
        <w:gridCol w:w="1315"/>
        <w:gridCol w:w="1376"/>
      </w:tblGrid>
      <w:tr w:rsidR="00BF7D77" w:rsidRPr="00BF7D77" w:rsidTr="00BF7D77">
        <w:trPr>
          <w:trHeight w:val="315"/>
        </w:trPr>
        <w:tc>
          <w:tcPr>
            <w:tcW w:w="10059"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00"/>
              </w:rPr>
            </w:pPr>
            <w:r w:rsidRPr="00BF7D77">
              <w:rPr>
                <w:rFonts w:ascii="Cambria" w:eastAsia="Times New Roman" w:hAnsi="Cambria" w:cs="Times New Roman"/>
                <w:b/>
                <w:bCs/>
                <w:color w:val="000000"/>
              </w:rPr>
              <w:t>Expenditures</w:t>
            </w:r>
          </w:p>
        </w:tc>
      </w:tr>
      <w:tr w:rsidR="00BF7D77" w:rsidRPr="00BF7D77" w:rsidTr="00BF7D77">
        <w:trPr>
          <w:trHeight w:val="2325"/>
        </w:trPr>
        <w:tc>
          <w:tcPr>
            <w:tcW w:w="2322" w:type="dxa"/>
            <w:tcBorders>
              <w:top w:val="nil"/>
              <w:left w:val="single" w:sz="8" w:space="0" w:color="auto"/>
              <w:bottom w:val="single" w:sz="8" w:space="0" w:color="auto"/>
              <w:right w:val="single" w:sz="8" w:space="0" w:color="auto"/>
            </w:tcBorders>
            <w:shd w:val="clear" w:color="auto" w:fill="auto"/>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00"/>
              </w:rPr>
            </w:pPr>
            <w:r w:rsidRPr="00BF7D77">
              <w:rPr>
                <w:rFonts w:ascii="Cambria" w:eastAsia="Times New Roman" w:hAnsi="Cambria" w:cs="Times New Roman"/>
                <w:b/>
                <w:bCs/>
                <w:color w:val="000000"/>
              </w:rPr>
              <w:t>Governorate</w:t>
            </w:r>
          </w:p>
        </w:tc>
        <w:tc>
          <w:tcPr>
            <w:tcW w:w="1359" w:type="dxa"/>
            <w:tcBorders>
              <w:top w:val="nil"/>
              <w:left w:val="nil"/>
              <w:bottom w:val="single" w:sz="8" w:space="0" w:color="auto"/>
              <w:right w:val="single" w:sz="4" w:space="0" w:color="auto"/>
            </w:tcBorders>
            <w:shd w:val="clear" w:color="auto" w:fill="auto"/>
            <w:textDirection w:val="btLr"/>
            <w:vAlign w:val="center"/>
            <w:hideMark/>
          </w:tcPr>
          <w:p w:rsidR="00BF7D77" w:rsidRPr="00BF7D77" w:rsidRDefault="00BF7D77" w:rsidP="00BF7D77">
            <w:pPr>
              <w:spacing w:after="0" w:line="240" w:lineRule="auto"/>
              <w:jc w:val="center"/>
              <w:rPr>
                <w:rFonts w:ascii="Cambria" w:eastAsia="Times New Roman" w:hAnsi="Cambria" w:cs="Times New Roman"/>
                <w:b/>
                <w:bCs/>
                <w:color w:val="000000"/>
              </w:rPr>
            </w:pPr>
            <w:r w:rsidRPr="00BF7D77">
              <w:rPr>
                <w:rFonts w:ascii="Cambria" w:eastAsia="Times New Roman" w:hAnsi="Cambria" w:cs="Times New Roman"/>
                <w:b/>
                <w:bCs/>
                <w:color w:val="000000"/>
              </w:rPr>
              <w:t>Ch1: Compensation Of Employees</w:t>
            </w:r>
          </w:p>
        </w:tc>
        <w:tc>
          <w:tcPr>
            <w:tcW w:w="1263" w:type="dxa"/>
            <w:tcBorders>
              <w:top w:val="nil"/>
              <w:left w:val="nil"/>
              <w:bottom w:val="single" w:sz="8" w:space="0" w:color="auto"/>
              <w:right w:val="single" w:sz="4" w:space="0" w:color="auto"/>
            </w:tcBorders>
            <w:shd w:val="clear" w:color="auto" w:fill="auto"/>
            <w:textDirection w:val="btLr"/>
            <w:vAlign w:val="center"/>
            <w:hideMark/>
          </w:tcPr>
          <w:p w:rsidR="00BF7D77" w:rsidRPr="00BF7D77" w:rsidRDefault="00BF7D77" w:rsidP="00BF7D77">
            <w:pPr>
              <w:spacing w:after="0" w:line="240" w:lineRule="auto"/>
              <w:jc w:val="center"/>
              <w:rPr>
                <w:rFonts w:ascii="Cambria" w:eastAsia="Times New Roman" w:hAnsi="Cambria" w:cs="Times New Roman"/>
                <w:b/>
                <w:bCs/>
                <w:color w:val="000000"/>
              </w:rPr>
            </w:pPr>
            <w:r w:rsidRPr="00BF7D77">
              <w:rPr>
                <w:rFonts w:ascii="Cambria" w:eastAsia="Times New Roman" w:hAnsi="Cambria" w:cs="Times New Roman"/>
                <w:b/>
                <w:bCs/>
                <w:color w:val="000000"/>
              </w:rPr>
              <w:t>Ch2: Use of goods and services</w:t>
            </w:r>
          </w:p>
        </w:tc>
        <w:tc>
          <w:tcPr>
            <w:tcW w:w="1162" w:type="dxa"/>
            <w:tcBorders>
              <w:top w:val="nil"/>
              <w:left w:val="nil"/>
              <w:bottom w:val="single" w:sz="8" w:space="0" w:color="auto"/>
              <w:right w:val="single" w:sz="4" w:space="0" w:color="auto"/>
            </w:tcBorders>
            <w:shd w:val="clear" w:color="auto" w:fill="auto"/>
            <w:textDirection w:val="btLr"/>
            <w:vAlign w:val="center"/>
            <w:hideMark/>
          </w:tcPr>
          <w:p w:rsidR="00BF7D77" w:rsidRPr="00BF7D77" w:rsidRDefault="00BF7D77" w:rsidP="00BF7D77">
            <w:pPr>
              <w:spacing w:after="0" w:line="240" w:lineRule="auto"/>
              <w:jc w:val="center"/>
              <w:rPr>
                <w:rFonts w:ascii="Cambria" w:eastAsia="Times New Roman" w:hAnsi="Cambria" w:cs="Times New Roman"/>
                <w:b/>
                <w:bCs/>
                <w:color w:val="000000"/>
              </w:rPr>
            </w:pPr>
            <w:r w:rsidRPr="00BF7D77">
              <w:rPr>
                <w:rFonts w:ascii="Cambria" w:eastAsia="Times New Roman" w:hAnsi="Cambria" w:cs="Times New Roman"/>
                <w:b/>
                <w:bCs/>
                <w:color w:val="000000"/>
              </w:rPr>
              <w:t>Ch3: Subsidies, Grants And Social Benefits</w:t>
            </w:r>
          </w:p>
        </w:tc>
        <w:tc>
          <w:tcPr>
            <w:tcW w:w="1262" w:type="dxa"/>
            <w:tcBorders>
              <w:top w:val="nil"/>
              <w:left w:val="nil"/>
              <w:bottom w:val="single" w:sz="8" w:space="0" w:color="auto"/>
              <w:right w:val="single" w:sz="4" w:space="0" w:color="auto"/>
            </w:tcBorders>
            <w:shd w:val="clear" w:color="auto" w:fill="auto"/>
            <w:textDirection w:val="btLr"/>
            <w:vAlign w:val="center"/>
            <w:hideMark/>
          </w:tcPr>
          <w:p w:rsidR="00BF7D77" w:rsidRPr="00BF7D77" w:rsidRDefault="00BF7D77" w:rsidP="00BF7D77">
            <w:pPr>
              <w:spacing w:after="0" w:line="240" w:lineRule="auto"/>
              <w:jc w:val="center"/>
              <w:rPr>
                <w:rFonts w:ascii="Cambria" w:eastAsia="Times New Roman" w:hAnsi="Cambria" w:cs="Times New Roman"/>
                <w:b/>
                <w:bCs/>
                <w:color w:val="000000"/>
              </w:rPr>
            </w:pPr>
            <w:r w:rsidRPr="00BF7D77">
              <w:rPr>
                <w:rFonts w:ascii="Cambria" w:eastAsia="Times New Roman" w:hAnsi="Cambria" w:cs="Times New Roman"/>
                <w:b/>
                <w:bCs/>
                <w:color w:val="000000"/>
              </w:rPr>
              <w:t>Ch4 :Acquisition Of Non-Financial Assets</w:t>
            </w:r>
          </w:p>
        </w:tc>
        <w:tc>
          <w:tcPr>
            <w:tcW w:w="1315" w:type="dxa"/>
            <w:tcBorders>
              <w:top w:val="nil"/>
              <w:left w:val="nil"/>
              <w:bottom w:val="single" w:sz="8" w:space="0" w:color="auto"/>
              <w:right w:val="single" w:sz="4" w:space="0" w:color="auto"/>
            </w:tcBorders>
            <w:shd w:val="clear" w:color="auto" w:fill="auto"/>
            <w:textDirection w:val="btLr"/>
            <w:vAlign w:val="center"/>
            <w:hideMark/>
          </w:tcPr>
          <w:p w:rsidR="00BF7D77" w:rsidRPr="00BF7D77" w:rsidRDefault="00BF7D77" w:rsidP="00BF7D77">
            <w:pPr>
              <w:spacing w:after="0" w:line="240" w:lineRule="auto"/>
              <w:jc w:val="center"/>
              <w:rPr>
                <w:rFonts w:ascii="Cambria" w:eastAsia="Times New Roman" w:hAnsi="Cambria" w:cs="Times New Roman"/>
                <w:b/>
                <w:bCs/>
                <w:color w:val="000000"/>
              </w:rPr>
            </w:pPr>
            <w:r w:rsidRPr="00BF7D77">
              <w:rPr>
                <w:rFonts w:ascii="Cambria" w:eastAsia="Times New Roman" w:hAnsi="Cambria" w:cs="Times New Roman"/>
                <w:b/>
                <w:bCs/>
                <w:color w:val="000000"/>
              </w:rPr>
              <w:t>Ch5: Acquisition Of Financial  Assets &amp; Repayment Of Liabilities</w:t>
            </w:r>
          </w:p>
        </w:tc>
        <w:tc>
          <w:tcPr>
            <w:tcW w:w="1376" w:type="dxa"/>
            <w:tcBorders>
              <w:top w:val="nil"/>
              <w:left w:val="single" w:sz="8" w:space="0" w:color="auto"/>
              <w:bottom w:val="single" w:sz="8" w:space="0" w:color="auto"/>
              <w:right w:val="single" w:sz="8" w:space="0" w:color="auto"/>
            </w:tcBorders>
            <w:shd w:val="clear" w:color="auto" w:fill="auto"/>
            <w:textDirection w:val="btLr"/>
            <w:vAlign w:val="center"/>
            <w:hideMark/>
          </w:tcPr>
          <w:p w:rsidR="00BF7D77" w:rsidRPr="00BF7D77" w:rsidRDefault="00BF7D77" w:rsidP="00BF7D77">
            <w:pPr>
              <w:spacing w:after="0" w:line="240" w:lineRule="auto"/>
              <w:jc w:val="center"/>
              <w:rPr>
                <w:rFonts w:ascii="Cambria" w:eastAsia="Times New Roman" w:hAnsi="Cambria" w:cs="Times New Roman"/>
                <w:b/>
                <w:bCs/>
                <w:color w:val="000000"/>
              </w:rPr>
            </w:pPr>
            <w:r w:rsidRPr="00BF7D77">
              <w:rPr>
                <w:rFonts w:ascii="Cambria" w:eastAsia="Times New Roman" w:hAnsi="Cambria" w:cs="Times New Roman"/>
                <w:b/>
                <w:bCs/>
                <w:color w:val="000000"/>
              </w:rPr>
              <w:t xml:space="preserve">Total  Expending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Sana'a City</w:t>
            </w:r>
          </w:p>
        </w:tc>
        <w:tc>
          <w:tcPr>
            <w:tcW w:w="1359"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22,459 </w:t>
            </w:r>
          </w:p>
        </w:tc>
        <w:tc>
          <w:tcPr>
            <w:tcW w:w="1263"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3,135 </w:t>
            </w:r>
          </w:p>
        </w:tc>
        <w:tc>
          <w:tcPr>
            <w:tcW w:w="11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10 </w:t>
            </w:r>
          </w:p>
        </w:tc>
        <w:tc>
          <w:tcPr>
            <w:tcW w:w="12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15,517 </w:t>
            </w:r>
          </w:p>
        </w:tc>
        <w:tc>
          <w:tcPr>
            <w:tcW w:w="1315"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41,122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auto" w:fill="auto"/>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lastRenderedPageBreak/>
              <w:t>Sana'a Governorate</w:t>
            </w:r>
          </w:p>
        </w:tc>
        <w:tc>
          <w:tcPr>
            <w:tcW w:w="1359"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15,923 </w:t>
            </w:r>
          </w:p>
        </w:tc>
        <w:tc>
          <w:tcPr>
            <w:tcW w:w="1263"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1,033 </w:t>
            </w:r>
          </w:p>
        </w:tc>
        <w:tc>
          <w:tcPr>
            <w:tcW w:w="11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11 </w:t>
            </w:r>
          </w:p>
        </w:tc>
        <w:tc>
          <w:tcPr>
            <w:tcW w:w="12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3,051 </w:t>
            </w:r>
          </w:p>
        </w:tc>
        <w:tc>
          <w:tcPr>
            <w:tcW w:w="1315"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20,018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Aden</w:t>
            </w:r>
          </w:p>
        </w:tc>
        <w:tc>
          <w:tcPr>
            <w:tcW w:w="1359"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19,747 </w:t>
            </w:r>
          </w:p>
        </w:tc>
        <w:tc>
          <w:tcPr>
            <w:tcW w:w="1263"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3,116 </w:t>
            </w:r>
          </w:p>
        </w:tc>
        <w:tc>
          <w:tcPr>
            <w:tcW w:w="11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143 </w:t>
            </w:r>
          </w:p>
        </w:tc>
        <w:tc>
          <w:tcPr>
            <w:tcW w:w="12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4,316 </w:t>
            </w:r>
          </w:p>
        </w:tc>
        <w:tc>
          <w:tcPr>
            <w:tcW w:w="1315"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27,323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auto" w:fill="auto"/>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Taiz</w:t>
            </w:r>
          </w:p>
        </w:tc>
        <w:tc>
          <w:tcPr>
            <w:tcW w:w="1359"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43,252 </w:t>
            </w:r>
          </w:p>
        </w:tc>
        <w:tc>
          <w:tcPr>
            <w:tcW w:w="1263"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2,132 </w:t>
            </w:r>
          </w:p>
        </w:tc>
        <w:tc>
          <w:tcPr>
            <w:tcW w:w="11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21 </w:t>
            </w:r>
          </w:p>
        </w:tc>
        <w:tc>
          <w:tcPr>
            <w:tcW w:w="12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6,121 </w:t>
            </w:r>
          </w:p>
        </w:tc>
        <w:tc>
          <w:tcPr>
            <w:tcW w:w="1315"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51,526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Hudaidah</w:t>
            </w:r>
          </w:p>
        </w:tc>
        <w:tc>
          <w:tcPr>
            <w:tcW w:w="1359"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24,930 </w:t>
            </w:r>
          </w:p>
        </w:tc>
        <w:tc>
          <w:tcPr>
            <w:tcW w:w="1263"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2,165 </w:t>
            </w:r>
          </w:p>
        </w:tc>
        <w:tc>
          <w:tcPr>
            <w:tcW w:w="11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4 </w:t>
            </w:r>
          </w:p>
        </w:tc>
        <w:tc>
          <w:tcPr>
            <w:tcW w:w="12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4,997 </w:t>
            </w:r>
          </w:p>
        </w:tc>
        <w:tc>
          <w:tcPr>
            <w:tcW w:w="1315"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32,096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auto" w:fill="auto"/>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Hadhramot</w:t>
            </w:r>
          </w:p>
        </w:tc>
        <w:tc>
          <w:tcPr>
            <w:tcW w:w="1359"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24,114 </w:t>
            </w:r>
          </w:p>
        </w:tc>
        <w:tc>
          <w:tcPr>
            <w:tcW w:w="1263"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4,588 </w:t>
            </w:r>
          </w:p>
        </w:tc>
        <w:tc>
          <w:tcPr>
            <w:tcW w:w="11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87 </w:t>
            </w:r>
          </w:p>
        </w:tc>
        <w:tc>
          <w:tcPr>
            <w:tcW w:w="12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2,944 </w:t>
            </w:r>
          </w:p>
        </w:tc>
        <w:tc>
          <w:tcPr>
            <w:tcW w:w="1315"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31,732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Ibb</w:t>
            </w:r>
          </w:p>
        </w:tc>
        <w:tc>
          <w:tcPr>
            <w:tcW w:w="1359"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29,040 </w:t>
            </w:r>
          </w:p>
        </w:tc>
        <w:tc>
          <w:tcPr>
            <w:tcW w:w="1263"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2,744 </w:t>
            </w:r>
          </w:p>
        </w:tc>
        <w:tc>
          <w:tcPr>
            <w:tcW w:w="11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5 </w:t>
            </w:r>
          </w:p>
        </w:tc>
        <w:tc>
          <w:tcPr>
            <w:tcW w:w="12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4,271 </w:t>
            </w:r>
          </w:p>
        </w:tc>
        <w:tc>
          <w:tcPr>
            <w:tcW w:w="1315"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36,060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auto" w:fill="auto"/>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Abyan</w:t>
            </w:r>
          </w:p>
        </w:tc>
        <w:tc>
          <w:tcPr>
            <w:tcW w:w="1359"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14,998 </w:t>
            </w:r>
          </w:p>
        </w:tc>
        <w:tc>
          <w:tcPr>
            <w:tcW w:w="1263"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608 </w:t>
            </w:r>
          </w:p>
        </w:tc>
        <w:tc>
          <w:tcPr>
            <w:tcW w:w="11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20 </w:t>
            </w:r>
          </w:p>
        </w:tc>
        <w:tc>
          <w:tcPr>
            <w:tcW w:w="12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1,669 </w:t>
            </w:r>
          </w:p>
        </w:tc>
        <w:tc>
          <w:tcPr>
            <w:tcW w:w="1315"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17,295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Dhamar</w:t>
            </w:r>
          </w:p>
        </w:tc>
        <w:tc>
          <w:tcPr>
            <w:tcW w:w="1359"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19,930 </w:t>
            </w:r>
          </w:p>
        </w:tc>
        <w:tc>
          <w:tcPr>
            <w:tcW w:w="1263"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1,435 </w:t>
            </w:r>
          </w:p>
        </w:tc>
        <w:tc>
          <w:tcPr>
            <w:tcW w:w="11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6 </w:t>
            </w:r>
          </w:p>
        </w:tc>
        <w:tc>
          <w:tcPr>
            <w:tcW w:w="12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3,038 </w:t>
            </w:r>
          </w:p>
        </w:tc>
        <w:tc>
          <w:tcPr>
            <w:tcW w:w="1315"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24,410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auto" w:fill="auto"/>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Shabwah</w:t>
            </w:r>
          </w:p>
        </w:tc>
        <w:tc>
          <w:tcPr>
            <w:tcW w:w="1359"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11,793 </w:t>
            </w:r>
          </w:p>
        </w:tc>
        <w:tc>
          <w:tcPr>
            <w:tcW w:w="1263"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644 </w:t>
            </w:r>
          </w:p>
        </w:tc>
        <w:tc>
          <w:tcPr>
            <w:tcW w:w="11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30 </w:t>
            </w:r>
          </w:p>
        </w:tc>
        <w:tc>
          <w:tcPr>
            <w:tcW w:w="12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1,482 </w:t>
            </w:r>
          </w:p>
        </w:tc>
        <w:tc>
          <w:tcPr>
            <w:tcW w:w="1315"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13,948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Hajjah</w:t>
            </w:r>
          </w:p>
        </w:tc>
        <w:tc>
          <w:tcPr>
            <w:tcW w:w="1359"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17,733 </w:t>
            </w:r>
          </w:p>
        </w:tc>
        <w:tc>
          <w:tcPr>
            <w:tcW w:w="1263"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997 </w:t>
            </w:r>
          </w:p>
        </w:tc>
        <w:tc>
          <w:tcPr>
            <w:tcW w:w="11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 </w:t>
            </w:r>
          </w:p>
        </w:tc>
        <w:tc>
          <w:tcPr>
            <w:tcW w:w="12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4,229 </w:t>
            </w:r>
          </w:p>
        </w:tc>
        <w:tc>
          <w:tcPr>
            <w:tcW w:w="1315"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22,962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auto" w:fill="auto"/>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AL-Baidha</w:t>
            </w:r>
          </w:p>
        </w:tc>
        <w:tc>
          <w:tcPr>
            <w:tcW w:w="1359"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8,148 </w:t>
            </w:r>
          </w:p>
        </w:tc>
        <w:tc>
          <w:tcPr>
            <w:tcW w:w="1263"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869 </w:t>
            </w:r>
          </w:p>
        </w:tc>
        <w:tc>
          <w:tcPr>
            <w:tcW w:w="11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5 </w:t>
            </w:r>
          </w:p>
        </w:tc>
        <w:tc>
          <w:tcPr>
            <w:tcW w:w="12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2,077 </w:t>
            </w:r>
          </w:p>
        </w:tc>
        <w:tc>
          <w:tcPr>
            <w:tcW w:w="1315"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11,099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Lahj</w:t>
            </w:r>
          </w:p>
        </w:tc>
        <w:tc>
          <w:tcPr>
            <w:tcW w:w="1359"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19,081 </w:t>
            </w:r>
          </w:p>
        </w:tc>
        <w:tc>
          <w:tcPr>
            <w:tcW w:w="1263"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1,264 </w:t>
            </w:r>
          </w:p>
        </w:tc>
        <w:tc>
          <w:tcPr>
            <w:tcW w:w="11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28 </w:t>
            </w:r>
          </w:p>
        </w:tc>
        <w:tc>
          <w:tcPr>
            <w:tcW w:w="12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1,824 </w:t>
            </w:r>
          </w:p>
        </w:tc>
        <w:tc>
          <w:tcPr>
            <w:tcW w:w="1315"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22,198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Sa'adah</w:t>
            </w:r>
          </w:p>
        </w:tc>
        <w:tc>
          <w:tcPr>
            <w:tcW w:w="1359"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7,851 </w:t>
            </w:r>
          </w:p>
        </w:tc>
        <w:tc>
          <w:tcPr>
            <w:tcW w:w="1263"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540 </w:t>
            </w:r>
          </w:p>
        </w:tc>
        <w:tc>
          <w:tcPr>
            <w:tcW w:w="11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7 </w:t>
            </w:r>
          </w:p>
        </w:tc>
        <w:tc>
          <w:tcPr>
            <w:tcW w:w="12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3,008 </w:t>
            </w:r>
          </w:p>
        </w:tc>
        <w:tc>
          <w:tcPr>
            <w:tcW w:w="1315"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11,407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AL-Mahweet</w:t>
            </w:r>
          </w:p>
        </w:tc>
        <w:tc>
          <w:tcPr>
            <w:tcW w:w="1359"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9,137 </w:t>
            </w:r>
          </w:p>
        </w:tc>
        <w:tc>
          <w:tcPr>
            <w:tcW w:w="1263"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590 </w:t>
            </w:r>
          </w:p>
        </w:tc>
        <w:tc>
          <w:tcPr>
            <w:tcW w:w="11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 </w:t>
            </w:r>
          </w:p>
        </w:tc>
        <w:tc>
          <w:tcPr>
            <w:tcW w:w="12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1,656 </w:t>
            </w:r>
          </w:p>
        </w:tc>
        <w:tc>
          <w:tcPr>
            <w:tcW w:w="1315"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11,386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auto" w:fill="auto"/>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AL-Maharah</w:t>
            </w:r>
          </w:p>
        </w:tc>
        <w:tc>
          <w:tcPr>
            <w:tcW w:w="1359"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2,857 </w:t>
            </w:r>
          </w:p>
        </w:tc>
        <w:tc>
          <w:tcPr>
            <w:tcW w:w="1263"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399 </w:t>
            </w:r>
          </w:p>
        </w:tc>
        <w:tc>
          <w:tcPr>
            <w:tcW w:w="11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10 </w:t>
            </w:r>
          </w:p>
        </w:tc>
        <w:tc>
          <w:tcPr>
            <w:tcW w:w="12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1,041 </w:t>
            </w:r>
          </w:p>
        </w:tc>
        <w:tc>
          <w:tcPr>
            <w:tcW w:w="1315"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4,307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Ma'arib</w:t>
            </w:r>
          </w:p>
        </w:tc>
        <w:tc>
          <w:tcPr>
            <w:tcW w:w="1359"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7,175 </w:t>
            </w:r>
          </w:p>
        </w:tc>
        <w:tc>
          <w:tcPr>
            <w:tcW w:w="1263"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849 </w:t>
            </w:r>
          </w:p>
        </w:tc>
        <w:tc>
          <w:tcPr>
            <w:tcW w:w="11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8 </w:t>
            </w:r>
          </w:p>
        </w:tc>
        <w:tc>
          <w:tcPr>
            <w:tcW w:w="12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1,455 </w:t>
            </w:r>
          </w:p>
        </w:tc>
        <w:tc>
          <w:tcPr>
            <w:tcW w:w="1315"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9,487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auto" w:fill="auto"/>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AL-Jawf</w:t>
            </w:r>
          </w:p>
        </w:tc>
        <w:tc>
          <w:tcPr>
            <w:tcW w:w="1359"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5,070 </w:t>
            </w:r>
          </w:p>
        </w:tc>
        <w:tc>
          <w:tcPr>
            <w:tcW w:w="1263"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322 </w:t>
            </w:r>
          </w:p>
        </w:tc>
        <w:tc>
          <w:tcPr>
            <w:tcW w:w="11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5 </w:t>
            </w:r>
          </w:p>
        </w:tc>
        <w:tc>
          <w:tcPr>
            <w:tcW w:w="12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1,333 </w:t>
            </w:r>
          </w:p>
        </w:tc>
        <w:tc>
          <w:tcPr>
            <w:tcW w:w="1315"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6,730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Amran</w:t>
            </w:r>
          </w:p>
        </w:tc>
        <w:tc>
          <w:tcPr>
            <w:tcW w:w="1359"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13,795 </w:t>
            </w:r>
          </w:p>
        </w:tc>
        <w:tc>
          <w:tcPr>
            <w:tcW w:w="1263"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685 </w:t>
            </w:r>
          </w:p>
        </w:tc>
        <w:tc>
          <w:tcPr>
            <w:tcW w:w="11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3 </w:t>
            </w:r>
          </w:p>
        </w:tc>
        <w:tc>
          <w:tcPr>
            <w:tcW w:w="1262"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2,459 </w:t>
            </w:r>
          </w:p>
        </w:tc>
        <w:tc>
          <w:tcPr>
            <w:tcW w:w="1315" w:type="dxa"/>
            <w:tcBorders>
              <w:top w:val="nil"/>
              <w:left w:val="nil"/>
              <w:bottom w:val="single" w:sz="4" w:space="0" w:color="auto"/>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16,942 </w:t>
            </w:r>
          </w:p>
        </w:tc>
      </w:tr>
      <w:tr w:rsidR="00BF7D77" w:rsidRPr="00BF7D77" w:rsidTr="00BF7D77">
        <w:trPr>
          <w:trHeight w:val="315"/>
        </w:trPr>
        <w:tc>
          <w:tcPr>
            <w:tcW w:w="2322" w:type="dxa"/>
            <w:tcBorders>
              <w:top w:val="nil"/>
              <w:left w:val="single" w:sz="8" w:space="0" w:color="auto"/>
              <w:bottom w:val="single" w:sz="4" w:space="0" w:color="auto"/>
              <w:right w:val="single" w:sz="8" w:space="0" w:color="auto"/>
            </w:tcBorders>
            <w:shd w:val="clear" w:color="auto" w:fill="auto"/>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AL-Dhalia'a</w:t>
            </w:r>
          </w:p>
        </w:tc>
        <w:tc>
          <w:tcPr>
            <w:tcW w:w="1359"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8,495 </w:t>
            </w:r>
          </w:p>
        </w:tc>
        <w:tc>
          <w:tcPr>
            <w:tcW w:w="1263"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584 </w:t>
            </w:r>
          </w:p>
        </w:tc>
        <w:tc>
          <w:tcPr>
            <w:tcW w:w="11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25 </w:t>
            </w:r>
          </w:p>
        </w:tc>
        <w:tc>
          <w:tcPr>
            <w:tcW w:w="1262"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1,884 </w:t>
            </w:r>
          </w:p>
        </w:tc>
        <w:tc>
          <w:tcPr>
            <w:tcW w:w="1315" w:type="dxa"/>
            <w:tcBorders>
              <w:top w:val="nil"/>
              <w:left w:val="nil"/>
              <w:bottom w:val="single" w:sz="4" w:space="0" w:color="auto"/>
              <w:right w:val="single" w:sz="4"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single" w:sz="4" w:space="0" w:color="auto"/>
              <w:right w:val="single" w:sz="8" w:space="0" w:color="auto"/>
            </w:tcBorders>
            <w:shd w:val="clear" w:color="auto" w:fill="auto"/>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10,988 </w:t>
            </w:r>
          </w:p>
        </w:tc>
      </w:tr>
      <w:tr w:rsidR="00BF7D77" w:rsidRPr="00BF7D77" w:rsidTr="00BF7D77">
        <w:trPr>
          <w:trHeight w:val="330"/>
        </w:trPr>
        <w:tc>
          <w:tcPr>
            <w:tcW w:w="2322" w:type="dxa"/>
            <w:tcBorders>
              <w:top w:val="nil"/>
              <w:left w:val="single" w:sz="8" w:space="0" w:color="auto"/>
              <w:bottom w:val="nil"/>
              <w:right w:val="single" w:sz="8" w:space="0" w:color="auto"/>
            </w:tcBorders>
            <w:shd w:val="clear" w:color="000000" w:fill="BFBFBF"/>
            <w:noWrap/>
            <w:vAlign w:val="center"/>
            <w:hideMark/>
          </w:tcPr>
          <w:p w:rsidR="00BF7D77" w:rsidRPr="00BF7D77" w:rsidRDefault="00BF7D77" w:rsidP="00BF7D77">
            <w:pPr>
              <w:spacing w:after="0" w:line="240" w:lineRule="auto"/>
              <w:jc w:val="center"/>
              <w:rPr>
                <w:rFonts w:ascii="Cambria" w:eastAsia="Times New Roman" w:hAnsi="Cambria" w:cs="Times New Roman"/>
                <w:b/>
                <w:bCs/>
                <w:color w:val="000080"/>
                <w:sz w:val="24"/>
                <w:szCs w:val="24"/>
              </w:rPr>
            </w:pPr>
            <w:r w:rsidRPr="00BF7D77">
              <w:rPr>
                <w:rFonts w:ascii="Cambria" w:eastAsia="Times New Roman" w:hAnsi="Cambria" w:cs="Times New Roman"/>
                <w:b/>
                <w:bCs/>
                <w:color w:val="000080"/>
                <w:sz w:val="24"/>
                <w:szCs w:val="24"/>
              </w:rPr>
              <w:t>Raima</w:t>
            </w:r>
          </w:p>
        </w:tc>
        <w:tc>
          <w:tcPr>
            <w:tcW w:w="1359" w:type="dxa"/>
            <w:tcBorders>
              <w:top w:val="nil"/>
              <w:left w:val="nil"/>
              <w:bottom w:val="nil"/>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5,718 </w:t>
            </w:r>
          </w:p>
        </w:tc>
        <w:tc>
          <w:tcPr>
            <w:tcW w:w="1263" w:type="dxa"/>
            <w:tcBorders>
              <w:top w:val="nil"/>
              <w:left w:val="nil"/>
              <w:bottom w:val="nil"/>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367 </w:t>
            </w:r>
          </w:p>
        </w:tc>
        <w:tc>
          <w:tcPr>
            <w:tcW w:w="1162" w:type="dxa"/>
            <w:tcBorders>
              <w:top w:val="nil"/>
              <w:left w:val="nil"/>
              <w:bottom w:val="nil"/>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262" w:type="dxa"/>
            <w:tcBorders>
              <w:top w:val="nil"/>
              <w:left w:val="nil"/>
              <w:bottom w:val="nil"/>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1,664 </w:t>
            </w:r>
          </w:p>
        </w:tc>
        <w:tc>
          <w:tcPr>
            <w:tcW w:w="1315" w:type="dxa"/>
            <w:tcBorders>
              <w:top w:val="nil"/>
              <w:left w:val="nil"/>
              <w:bottom w:val="nil"/>
              <w:right w:val="single" w:sz="4"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color w:val="000000"/>
              </w:rPr>
            </w:pPr>
            <w:r w:rsidRPr="00BF7D77">
              <w:rPr>
                <w:rFonts w:ascii="Cambria" w:eastAsia="Times New Roman" w:hAnsi="Cambria" w:cs="Times New Roman"/>
                <w:color w:val="000000"/>
              </w:rPr>
              <w:t xml:space="preserve">               -   </w:t>
            </w:r>
          </w:p>
        </w:tc>
        <w:tc>
          <w:tcPr>
            <w:tcW w:w="1376" w:type="dxa"/>
            <w:tcBorders>
              <w:top w:val="nil"/>
              <w:left w:val="single" w:sz="8" w:space="0" w:color="auto"/>
              <w:bottom w:val="nil"/>
              <w:right w:val="single" w:sz="8" w:space="0" w:color="auto"/>
            </w:tcBorders>
            <w:shd w:val="clear" w:color="000000" w:fill="BFBFBF"/>
            <w:noWrap/>
            <w:vAlign w:val="bottom"/>
            <w:hideMark/>
          </w:tcPr>
          <w:p w:rsidR="00BF7D77" w:rsidRPr="00BF7D77" w:rsidRDefault="00BF7D77" w:rsidP="00BF7D77">
            <w:pPr>
              <w:spacing w:after="0" w:line="240" w:lineRule="auto"/>
              <w:rPr>
                <w:rFonts w:ascii="Cambria" w:eastAsia="Times New Roman" w:hAnsi="Cambria" w:cs="Times New Roman"/>
                <w:b/>
                <w:bCs/>
                <w:color w:val="000000"/>
              </w:rPr>
            </w:pPr>
            <w:r w:rsidRPr="00BF7D77">
              <w:rPr>
                <w:rFonts w:ascii="Cambria" w:eastAsia="Times New Roman" w:hAnsi="Cambria" w:cs="Times New Roman"/>
                <w:b/>
                <w:bCs/>
                <w:color w:val="000000"/>
              </w:rPr>
              <w:t xml:space="preserve">             7,749 </w:t>
            </w:r>
          </w:p>
        </w:tc>
      </w:tr>
      <w:tr w:rsidR="00BF7D77" w:rsidRPr="00BF7D77" w:rsidTr="00BF7D77">
        <w:trPr>
          <w:trHeight w:val="315"/>
        </w:trPr>
        <w:tc>
          <w:tcPr>
            <w:tcW w:w="2322" w:type="dxa"/>
            <w:tcBorders>
              <w:top w:val="single" w:sz="8" w:space="0" w:color="auto"/>
              <w:left w:val="single" w:sz="8" w:space="0" w:color="auto"/>
              <w:bottom w:val="single" w:sz="8" w:space="0" w:color="auto"/>
              <w:right w:val="nil"/>
            </w:tcBorders>
            <w:shd w:val="clear" w:color="000000" w:fill="000000"/>
            <w:noWrap/>
            <w:vAlign w:val="bottom"/>
            <w:hideMark/>
          </w:tcPr>
          <w:p w:rsidR="00BF7D77" w:rsidRPr="00BF7D77" w:rsidRDefault="00BF7D77" w:rsidP="00BF7D77">
            <w:pPr>
              <w:spacing w:after="0" w:line="240" w:lineRule="auto"/>
              <w:jc w:val="center"/>
              <w:rPr>
                <w:rFonts w:ascii="Cambria" w:eastAsia="Times New Roman" w:hAnsi="Cambria" w:cs="Times New Roman"/>
                <w:b/>
                <w:bCs/>
                <w:color w:val="FFFFFF"/>
              </w:rPr>
            </w:pPr>
            <w:r w:rsidRPr="00BF7D77">
              <w:rPr>
                <w:rFonts w:ascii="Cambria" w:eastAsia="Times New Roman" w:hAnsi="Cambria" w:cs="Times New Roman"/>
                <w:b/>
                <w:bCs/>
                <w:color w:val="FFFFFF"/>
              </w:rPr>
              <w:t>Total</w:t>
            </w:r>
          </w:p>
        </w:tc>
        <w:tc>
          <w:tcPr>
            <w:tcW w:w="1359" w:type="dxa"/>
            <w:tcBorders>
              <w:top w:val="single" w:sz="8" w:space="0" w:color="auto"/>
              <w:left w:val="single" w:sz="4" w:space="0" w:color="auto"/>
              <w:bottom w:val="single" w:sz="8" w:space="0" w:color="auto"/>
              <w:right w:val="single" w:sz="4" w:space="0" w:color="auto"/>
            </w:tcBorders>
            <w:shd w:val="clear" w:color="000000" w:fill="000000"/>
            <w:noWrap/>
            <w:vAlign w:val="bottom"/>
            <w:hideMark/>
          </w:tcPr>
          <w:p w:rsidR="00BF7D77" w:rsidRPr="00BF7D77" w:rsidRDefault="00BF7D77" w:rsidP="00BF7D77">
            <w:pPr>
              <w:spacing w:after="0" w:line="240" w:lineRule="auto"/>
              <w:rPr>
                <w:rFonts w:ascii="Cambria" w:eastAsia="Times New Roman" w:hAnsi="Cambria" w:cs="Times New Roman"/>
                <w:b/>
                <w:bCs/>
                <w:color w:val="FFFFFF"/>
              </w:rPr>
            </w:pPr>
            <w:r w:rsidRPr="00BF7D77">
              <w:rPr>
                <w:rFonts w:ascii="Cambria" w:eastAsia="Times New Roman" w:hAnsi="Cambria" w:cs="Times New Roman"/>
                <w:b/>
                <w:bCs/>
                <w:color w:val="FFFFFF"/>
              </w:rPr>
              <w:t xml:space="preserve">      331,246 </w:t>
            </w:r>
          </w:p>
        </w:tc>
        <w:tc>
          <w:tcPr>
            <w:tcW w:w="1263" w:type="dxa"/>
            <w:tcBorders>
              <w:top w:val="single" w:sz="8" w:space="0" w:color="auto"/>
              <w:left w:val="nil"/>
              <w:bottom w:val="single" w:sz="8" w:space="0" w:color="auto"/>
              <w:right w:val="single" w:sz="4" w:space="0" w:color="auto"/>
            </w:tcBorders>
            <w:shd w:val="clear" w:color="000000" w:fill="000000"/>
            <w:noWrap/>
            <w:vAlign w:val="bottom"/>
            <w:hideMark/>
          </w:tcPr>
          <w:p w:rsidR="00BF7D77" w:rsidRPr="00BF7D77" w:rsidRDefault="00BF7D77" w:rsidP="00BF7D77">
            <w:pPr>
              <w:spacing w:after="0" w:line="240" w:lineRule="auto"/>
              <w:rPr>
                <w:rFonts w:ascii="Cambria" w:eastAsia="Times New Roman" w:hAnsi="Cambria" w:cs="Times New Roman"/>
                <w:b/>
                <w:bCs/>
                <w:color w:val="FFFFFF"/>
              </w:rPr>
            </w:pPr>
            <w:r w:rsidRPr="00BF7D77">
              <w:rPr>
                <w:rFonts w:ascii="Cambria" w:eastAsia="Times New Roman" w:hAnsi="Cambria" w:cs="Times New Roman"/>
                <w:b/>
                <w:bCs/>
                <w:color w:val="FFFFFF"/>
              </w:rPr>
              <w:t xml:space="preserve">       29,067 </w:t>
            </w:r>
          </w:p>
        </w:tc>
        <w:tc>
          <w:tcPr>
            <w:tcW w:w="1162" w:type="dxa"/>
            <w:tcBorders>
              <w:top w:val="single" w:sz="8" w:space="0" w:color="auto"/>
              <w:left w:val="nil"/>
              <w:bottom w:val="single" w:sz="8" w:space="0" w:color="auto"/>
              <w:right w:val="single" w:sz="4" w:space="0" w:color="auto"/>
            </w:tcBorders>
            <w:shd w:val="clear" w:color="000000" w:fill="000000"/>
            <w:noWrap/>
            <w:vAlign w:val="bottom"/>
            <w:hideMark/>
          </w:tcPr>
          <w:p w:rsidR="00BF7D77" w:rsidRPr="00BF7D77" w:rsidRDefault="00BF7D77" w:rsidP="00BF7D77">
            <w:pPr>
              <w:spacing w:after="0" w:line="240" w:lineRule="auto"/>
              <w:rPr>
                <w:rFonts w:ascii="Cambria" w:eastAsia="Times New Roman" w:hAnsi="Cambria" w:cs="Times New Roman"/>
                <w:b/>
                <w:bCs/>
                <w:color w:val="FFFFFF"/>
              </w:rPr>
            </w:pPr>
            <w:r w:rsidRPr="00BF7D77">
              <w:rPr>
                <w:rFonts w:ascii="Cambria" w:eastAsia="Times New Roman" w:hAnsi="Cambria" w:cs="Times New Roman"/>
                <w:b/>
                <w:bCs/>
                <w:color w:val="FFFFFF"/>
              </w:rPr>
              <w:t xml:space="preserve">         434 </w:t>
            </w:r>
          </w:p>
        </w:tc>
        <w:tc>
          <w:tcPr>
            <w:tcW w:w="1262" w:type="dxa"/>
            <w:tcBorders>
              <w:top w:val="single" w:sz="8" w:space="0" w:color="auto"/>
              <w:left w:val="nil"/>
              <w:bottom w:val="single" w:sz="8" w:space="0" w:color="auto"/>
              <w:right w:val="single" w:sz="4" w:space="0" w:color="auto"/>
            </w:tcBorders>
            <w:shd w:val="clear" w:color="000000" w:fill="000000"/>
            <w:noWrap/>
            <w:vAlign w:val="bottom"/>
            <w:hideMark/>
          </w:tcPr>
          <w:p w:rsidR="00BF7D77" w:rsidRPr="00BF7D77" w:rsidRDefault="00BF7D77" w:rsidP="00BF7D77">
            <w:pPr>
              <w:spacing w:after="0" w:line="240" w:lineRule="auto"/>
              <w:rPr>
                <w:rFonts w:ascii="Cambria" w:eastAsia="Times New Roman" w:hAnsi="Cambria" w:cs="Times New Roman"/>
                <w:b/>
                <w:bCs/>
                <w:color w:val="FFFFFF"/>
              </w:rPr>
            </w:pPr>
            <w:r w:rsidRPr="00BF7D77">
              <w:rPr>
                <w:rFonts w:ascii="Cambria" w:eastAsia="Times New Roman" w:hAnsi="Cambria" w:cs="Times New Roman"/>
                <w:b/>
                <w:bCs/>
                <w:color w:val="FFFFFF"/>
              </w:rPr>
              <w:t xml:space="preserve">       70,037 </w:t>
            </w:r>
          </w:p>
        </w:tc>
        <w:tc>
          <w:tcPr>
            <w:tcW w:w="1315" w:type="dxa"/>
            <w:tcBorders>
              <w:top w:val="single" w:sz="8" w:space="0" w:color="auto"/>
              <w:left w:val="nil"/>
              <w:bottom w:val="single" w:sz="8" w:space="0" w:color="auto"/>
              <w:right w:val="single" w:sz="4" w:space="0" w:color="auto"/>
            </w:tcBorders>
            <w:shd w:val="clear" w:color="000000" w:fill="000000"/>
            <w:noWrap/>
            <w:vAlign w:val="bottom"/>
            <w:hideMark/>
          </w:tcPr>
          <w:p w:rsidR="00BF7D77" w:rsidRPr="00BF7D77" w:rsidRDefault="00BF7D77" w:rsidP="00BF7D77">
            <w:pPr>
              <w:spacing w:after="0" w:line="240" w:lineRule="auto"/>
              <w:rPr>
                <w:rFonts w:ascii="Cambria" w:eastAsia="Times New Roman" w:hAnsi="Cambria" w:cs="Times New Roman"/>
                <w:b/>
                <w:bCs/>
                <w:color w:val="FFFFFF"/>
              </w:rPr>
            </w:pPr>
            <w:r w:rsidRPr="00BF7D77">
              <w:rPr>
                <w:rFonts w:ascii="Cambria" w:eastAsia="Times New Roman" w:hAnsi="Cambria" w:cs="Times New Roman"/>
                <w:b/>
                <w:bCs/>
                <w:color w:val="FFFFFF"/>
              </w:rPr>
              <w:t xml:space="preserve">              -   </w:t>
            </w:r>
          </w:p>
        </w:tc>
        <w:tc>
          <w:tcPr>
            <w:tcW w:w="1376"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BF7D77" w:rsidRPr="00BF7D77" w:rsidRDefault="00BF7D77" w:rsidP="00BF7D77">
            <w:pPr>
              <w:spacing w:after="0" w:line="240" w:lineRule="auto"/>
              <w:rPr>
                <w:rFonts w:ascii="Cambria" w:eastAsia="Times New Roman" w:hAnsi="Cambria" w:cs="Times New Roman"/>
                <w:b/>
                <w:bCs/>
                <w:color w:val="FFFFFF"/>
              </w:rPr>
            </w:pPr>
            <w:r w:rsidRPr="00BF7D77">
              <w:rPr>
                <w:rFonts w:ascii="Cambria" w:eastAsia="Times New Roman" w:hAnsi="Cambria" w:cs="Times New Roman"/>
                <w:b/>
                <w:bCs/>
                <w:color w:val="FFFFFF"/>
              </w:rPr>
              <w:t xml:space="preserve">       430,783 </w:t>
            </w:r>
          </w:p>
        </w:tc>
      </w:tr>
    </w:tbl>
    <w:p w:rsidR="00BF7D77" w:rsidRDefault="00BF7D77" w:rsidP="004414AE">
      <w:pPr>
        <w:spacing w:line="480" w:lineRule="auto"/>
        <w:ind w:firstLine="851"/>
        <w:rPr>
          <w:rFonts w:asciiTheme="majorHAnsi" w:hAnsiTheme="majorHAnsi" w:cstheme="majorBidi"/>
          <w:sz w:val="24"/>
          <w:szCs w:val="24"/>
        </w:rPr>
      </w:pPr>
    </w:p>
    <w:p w:rsidR="004414AE" w:rsidRDefault="00E31628" w:rsidP="004414AE">
      <w:pPr>
        <w:spacing w:line="480" w:lineRule="auto"/>
        <w:ind w:firstLine="851"/>
        <w:rPr>
          <w:rFonts w:asciiTheme="majorHAnsi" w:hAnsiTheme="majorHAnsi" w:cstheme="majorBidi"/>
          <w:sz w:val="24"/>
          <w:szCs w:val="24"/>
        </w:rPr>
      </w:pPr>
      <w:r w:rsidRPr="00B92BA2">
        <w:rPr>
          <w:rFonts w:asciiTheme="majorHAnsi" w:hAnsiTheme="majorHAnsi" w:cstheme="majorBidi"/>
          <w:sz w:val="24"/>
          <w:szCs w:val="24"/>
        </w:rPr>
        <w:t xml:space="preserve">As per the current Local Authority Law, local authority has the power and authorities to collect various revenues taxes and fees as well as sharing other central </w:t>
      </w:r>
      <w:r w:rsidRPr="00B92BA2">
        <w:rPr>
          <w:rFonts w:asciiTheme="majorHAnsi" w:hAnsiTheme="majorHAnsi" w:cstheme="majorBidi"/>
          <w:sz w:val="24"/>
          <w:szCs w:val="24"/>
        </w:rPr>
        <w:lastRenderedPageBreak/>
        <w:t xml:space="preserve">revenues (Joint Public Revenues). From Table </w:t>
      </w:r>
      <w:r w:rsidR="00F53BD8">
        <w:rPr>
          <w:rFonts w:asciiTheme="majorHAnsi" w:hAnsiTheme="majorHAnsi" w:cstheme="majorBidi"/>
          <w:sz w:val="24"/>
          <w:szCs w:val="24"/>
        </w:rPr>
        <w:t>13</w:t>
      </w:r>
      <w:r w:rsidRPr="00B92BA2">
        <w:rPr>
          <w:rFonts w:asciiTheme="majorHAnsi" w:hAnsiTheme="majorHAnsi" w:cstheme="majorBidi"/>
          <w:sz w:val="24"/>
          <w:szCs w:val="24"/>
        </w:rPr>
        <w:t xml:space="preserve">, local tax, Customs and Zakat revenues represent 59% of total local revenues </w:t>
      </w:r>
      <w:r>
        <w:rPr>
          <w:rFonts w:asciiTheme="majorHAnsi" w:hAnsiTheme="majorHAnsi" w:cstheme="majorBidi"/>
          <w:sz w:val="24"/>
          <w:szCs w:val="24"/>
        </w:rPr>
        <w:t xml:space="preserve">and </w:t>
      </w:r>
      <w:r w:rsidRPr="00B92BA2">
        <w:rPr>
          <w:rFonts w:asciiTheme="majorHAnsi" w:hAnsiTheme="majorHAnsi" w:cstheme="majorBidi"/>
          <w:sz w:val="24"/>
          <w:szCs w:val="24"/>
        </w:rPr>
        <w:t>the remaining 41%  comes from Other Central Revenues such as the 30% annual revenue from Roads and Bridges Maintenance Fund</w:t>
      </w:r>
      <w:r>
        <w:rPr>
          <w:rFonts w:asciiTheme="majorHAnsi" w:hAnsiTheme="majorHAnsi" w:cstheme="majorBidi"/>
          <w:sz w:val="24"/>
          <w:szCs w:val="24"/>
        </w:rPr>
        <w:t xml:space="preserve">, </w:t>
      </w:r>
      <w:r w:rsidRPr="00B92BA2">
        <w:rPr>
          <w:rFonts w:asciiTheme="majorHAnsi" w:hAnsiTheme="majorHAnsi" w:cstheme="majorBidi"/>
          <w:sz w:val="24"/>
          <w:szCs w:val="24"/>
        </w:rPr>
        <w:t>Agricultural and Fishery Production Encouragement Fund</w:t>
      </w:r>
      <w:r>
        <w:rPr>
          <w:rFonts w:asciiTheme="majorHAnsi" w:hAnsiTheme="majorHAnsi" w:cstheme="majorBidi"/>
          <w:sz w:val="24"/>
          <w:szCs w:val="24"/>
        </w:rPr>
        <w:t xml:space="preserve"> and </w:t>
      </w:r>
      <w:r w:rsidRPr="00B92BA2">
        <w:rPr>
          <w:rFonts w:asciiTheme="majorHAnsi" w:hAnsiTheme="majorHAnsi" w:cstheme="majorBidi"/>
          <w:sz w:val="24"/>
          <w:szCs w:val="24"/>
        </w:rPr>
        <w:t>Young People's Welfare, Youth and Sports Fund</w:t>
      </w:r>
      <w:r w:rsidR="00F53BD8">
        <w:rPr>
          <w:rFonts w:asciiTheme="majorHAnsi" w:hAnsiTheme="majorHAnsi" w:cstheme="majorBidi"/>
          <w:sz w:val="24"/>
          <w:szCs w:val="24"/>
        </w:rPr>
        <w:t>.  Local authority also receive a 5%</w:t>
      </w:r>
      <w:r>
        <w:rPr>
          <w:rFonts w:asciiTheme="majorHAnsi" w:hAnsiTheme="majorHAnsi" w:cstheme="majorBidi"/>
          <w:sz w:val="24"/>
          <w:szCs w:val="24"/>
        </w:rPr>
        <w:t xml:space="preserve"> </w:t>
      </w:r>
      <w:r w:rsidR="00F53BD8">
        <w:rPr>
          <w:rFonts w:asciiTheme="majorHAnsi" w:hAnsiTheme="majorHAnsi" w:cstheme="majorBidi"/>
          <w:sz w:val="24"/>
          <w:szCs w:val="24"/>
        </w:rPr>
        <w:t>GST</w:t>
      </w:r>
      <w:r w:rsidR="004414AE">
        <w:rPr>
          <w:rFonts w:asciiTheme="majorHAnsi" w:hAnsiTheme="majorHAnsi" w:cstheme="majorBidi"/>
          <w:sz w:val="24"/>
          <w:szCs w:val="24"/>
        </w:rPr>
        <w:t>/</w:t>
      </w:r>
      <w:r w:rsidRPr="0072532F">
        <w:rPr>
          <w:rFonts w:asciiTheme="majorHAnsi" w:hAnsiTheme="majorHAnsi" w:cstheme="majorBidi"/>
          <w:sz w:val="24"/>
          <w:szCs w:val="24"/>
        </w:rPr>
        <w:t>VAT on mobile phone consumption</w:t>
      </w:r>
      <w:r>
        <w:rPr>
          <w:rFonts w:asciiTheme="majorHAnsi" w:hAnsiTheme="majorHAnsi" w:cstheme="majorBidi"/>
          <w:sz w:val="24"/>
          <w:szCs w:val="24"/>
        </w:rPr>
        <w:t>. However,</w:t>
      </w:r>
      <w:r w:rsidR="00F53BD8">
        <w:rPr>
          <w:rFonts w:asciiTheme="majorHAnsi" w:hAnsiTheme="majorHAnsi" w:cstheme="majorBidi"/>
          <w:sz w:val="24"/>
          <w:szCs w:val="24"/>
        </w:rPr>
        <w:t xml:space="preserve"> the 5% revenues from the GST</w:t>
      </w:r>
      <w:r>
        <w:rPr>
          <w:rFonts w:asciiTheme="majorHAnsi" w:hAnsiTheme="majorHAnsi" w:cstheme="majorBidi"/>
          <w:sz w:val="24"/>
          <w:szCs w:val="24"/>
        </w:rPr>
        <w:t xml:space="preserve"> </w:t>
      </w:r>
      <w:r w:rsidR="00F53BD8">
        <w:rPr>
          <w:rFonts w:asciiTheme="majorHAnsi" w:hAnsiTheme="majorHAnsi" w:cstheme="majorBidi"/>
          <w:sz w:val="24"/>
          <w:szCs w:val="24"/>
        </w:rPr>
        <w:t xml:space="preserve">are being collected centrally and distributed to governorates </w:t>
      </w:r>
      <w:r w:rsidR="004414AE">
        <w:rPr>
          <w:rFonts w:asciiTheme="majorHAnsi" w:hAnsiTheme="majorHAnsi" w:cstheme="majorBidi"/>
          <w:sz w:val="24"/>
          <w:szCs w:val="24"/>
        </w:rPr>
        <w:t xml:space="preserve">as </w:t>
      </w:r>
      <w:r w:rsidR="00F53BD8">
        <w:rPr>
          <w:rFonts w:asciiTheme="majorHAnsi" w:hAnsiTheme="majorHAnsi" w:cstheme="majorBidi"/>
          <w:sz w:val="24"/>
          <w:szCs w:val="24"/>
        </w:rPr>
        <w:t xml:space="preserve"> </w:t>
      </w:r>
      <w:r w:rsidR="004414AE" w:rsidRPr="004414AE">
        <w:rPr>
          <w:rFonts w:asciiTheme="majorHAnsi" w:hAnsiTheme="majorHAnsi" w:cstheme="majorBidi"/>
          <w:sz w:val="24"/>
          <w:szCs w:val="24"/>
        </w:rPr>
        <w:t>Joint Public Revenues</w:t>
      </w:r>
      <w:r w:rsidR="004414AE">
        <w:rPr>
          <w:rFonts w:asciiTheme="majorHAnsi" w:hAnsiTheme="majorHAnsi" w:cstheme="majorBidi"/>
          <w:sz w:val="24"/>
          <w:szCs w:val="24"/>
        </w:rPr>
        <w:t xml:space="preserve">. The total GST/VAT on mobile phone consumption is 15% (5% to local authority and 10% to central authority).  </w:t>
      </w:r>
    </w:p>
    <w:tbl>
      <w:tblPr>
        <w:tblW w:w="5840" w:type="dxa"/>
        <w:tblInd w:w="250" w:type="dxa"/>
        <w:tblLook w:val="04A0"/>
      </w:tblPr>
      <w:tblGrid>
        <w:gridCol w:w="4540"/>
        <w:gridCol w:w="1300"/>
      </w:tblGrid>
      <w:tr w:rsidR="00E31628" w:rsidRPr="007B6063" w:rsidTr="00BF7D77">
        <w:trPr>
          <w:trHeight w:val="300"/>
        </w:trPr>
        <w:tc>
          <w:tcPr>
            <w:tcW w:w="4540" w:type="dxa"/>
            <w:tcBorders>
              <w:top w:val="nil"/>
              <w:left w:val="nil"/>
              <w:bottom w:val="nil"/>
              <w:right w:val="nil"/>
            </w:tcBorders>
            <w:shd w:val="clear" w:color="auto" w:fill="auto"/>
            <w:noWrap/>
            <w:vAlign w:val="center"/>
            <w:hideMark/>
          </w:tcPr>
          <w:p w:rsidR="00E31628" w:rsidRPr="007B6063" w:rsidRDefault="00E31628" w:rsidP="00672C83">
            <w:pPr>
              <w:spacing w:after="0" w:line="240" w:lineRule="auto"/>
              <w:jc w:val="center"/>
              <w:rPr>
                <w:rFonts w:ascii="Cambria" w:eastAsia="Times New Roman" w:hAnsi="Cambria" w:cs="Times New Roman"/>
                <w:b/>
                <w:bCs/>
                <w:i/>
                <w:iCs/>
                <w:color w:val="000000"/>
              </w:rPr>
            </w:pPr>
            <w:r w:rsidRPr="007B6063">
              <w:rPr>
                <w:rFonts w:ascii="Cambria" w:eastAsia="Times New Roman" w:hAnsi="Cambria" w:cs="Times New Roman"/>
                <w:color w:val="000000"/>
              </w:rPr>
              <w:t>Table 8:</w:t>
            </w:r>
            <w:r w:rsidRPr="007B6063">
              <w:rPr>
                <w:rFonts w:ascii="Cambria" w:eastAsia="Times New Roman" w:hAnsi="Cambria" w:cs="Times New Roman"/>
                <w:b/>
                <w:bCs/>
                <w:i/>
                <w:iCs/>
                <w:color w:val="000000"/>
              </w:rPr>
              <w:t>Local Authority Revenues</w:t>
            </w:r>
            <w:r>
              <w:rPr>
                <w:rFonts w:ascii="Cambria" w:eastAsia="Times New Roman" w:hAnsi="Cambria" w:cs="Times New Roman"/>
                <w:b/>
                <w:bCs/>
                <w:i/>
                <w:iCs/>
                <w:color w:val="000000"/>
              </w:rPr>
              <w:t xml:space="preserve"> Average Allocation</w:t>
            </w:r>
          </w:p>
        </w:tc>
        <w:tc>
          <w:tcPr>
            <w:tcW w:w="1300" w:type="dxa"/>
            <w:tcBorders>
              <w:top w:val="nil"/>
              <w:left w:val="nil"/>
              <w:bottom w:val="nil"/>
              <w:right w:val="nil"/>
            </w:tcBorders>
            <w:shd w:val="clear" w:color="auto" w:fill="auto"/>
            <w:noWrap/>
            <w:vAlign w:val="bottom"/>
            <w:hideMark/>
          </w:tcPr>
          <w:p w:rsidR="00E31628" w:rsidRPr="007B6063" w:rsidRDefault="00E31628" w:rsidP="00672C83">
            <w:pPr>
              <w:spacing w:after="0" w:line="240" w:lineRule="auto"/>
              <w:rPr>
                <w:rFonts w:ascii="Cambria" w:eastAsia="Times New Roman" w:hAnsi="Cambria" w:cs="Times New Roman"/>
                <w:color w:val="000000"/>
              </w:rPr>
            </w:pPr>
          </w:p>
        </w:tc>
      </w:tr>
      <w:tr w:rsidR="00E31628" w:rsidRPr="007B6063" w:rsidTr="00BF7D77">
        <w:trPr>
          <w:trHeight w:val="285"/>
        </w:trPr>
        <w:tc>
          <w:tcPr>
            <w:tcW w:w="4540" w:type="dxa"/>
            <w:vMerge w:val="restart"/>
            <w:tcBorders>
              <w:top w:val="single" w:sz="8" w:space="0" w:color="auto"/>
              <w:left w:val="single" w:sz="8" w:space="0" w:color="auto"/>
              <w:bottom w:val="single" w:sz="8" w:space="0" w:color="000000"/>
              <w:right w:val="nil"/>
            </w:tcBorders>
            <w:shd w:val="clear" w:color="000000" w:fill="B6DDE8"/>
            <w:vAlign w:val="center"/>
            <w:hideMark/>
          </w:tcPr>
          <w:p w:rsidR="00E31628" w:rsidRPr="007B6063" w:rsidRDefault="00E31628" w:rsidP="00672C83">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Revenue Type</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B6DDE8"/>
            <w:vAlign w:val="center"/>
            <w:hideMark/>
          </w:tcPr>
          <w:p w:rsidR="00E31628" w:rsidRPr="007B6063" w:rsidRDefault="00E31628" w:rsidP="00672C83">
            <w:pPr>
              <w:spacing w:after="0" w:line="240" w:lineRule="auto"/>
              <w:jc w:val="center"/>
              <w:rPr>
                <w:rFonts w:ascii="Cambria" w:eastAsia="Times New Roman" w:hAnsi="Cambria" w:cs="Times New Roman"/>
                <w:b/>
                <w:bCs/>
                <w:color w:val="000000"/>
              </w:rPr>
            </w:pPr>
            <w:r w:rsidRPr="007B6063">
              <w:rPr>
                <w:rFonts w:ascii="Cambria" w:eastAsia="Times New Roman" w:hAnsi="Cambria" w:cs="Times New Roman"/>
                <w:b/>
                <w:bCs/>
                <w:color w:val="000000"/>
              </w:rPr>
              <w:t>5-Year Average</w:t>
            </w:r>
          </w:p>
        </w:tc>
      </w:tr>
      <w:tr w:rsidR="00E31628" w:rsidRPr="007B6063" w:rsidTr="00BF7D77">
        <w:trPr>
          <w:trHeight w:val="300"/>
        </w:trPr>
        <w:tc>
          <w:tcPr>
            <w:tcW w:w="4540" w:type="dxa"/>
            <w:vMerge/>
            <w:tcBorders>
              <w:top w:val="single" w:sz="8" w:space="0" w:color="auto"/>
              <w:left w:val="single" w:sz="8" w:space="0" w:color="auto"/>
              <w:bottom w:val="single" w:sz="8" w:space="0" w:color="000000"/>
              <w:right w:val="nil"/>
            </w:tcBorders>
            <w:vAlign w:val="center"/>
            <w:hideMark/>
          </w:tcPr>
          <w:p w:rsidR="00E31628" w:rsidRPr="007B6063" w:rsidRDefault="00E31628" w:rsidP="00672C83">
            <w:pPr>
              <w:spacing w:after="0" w:line="240" w:lineRule="auto"/>
              <w:rPr>
                <w:rFonts w:ascii="Cambria" w:eastAsia="Times New Roman" w:hAnsi="Cambria" w:cs="Times New Roman"/>
                <w:b/>
                <w:bCs/>
                <w:color w:val="000000"/>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E31628" w:rsidRPr="007B6063" w:rsidRDefault="00E31628" w:rsidP="00672C83">
            <w:pPr>
              <w:spacing w:after="0" w:line="240" w:lineRule="auto"/>
              <w:rPr>
                <w:rFonts w:ascii="Cambria" w:eastAsia="Times New Roman" w:hAnsi="Cambria" w:cs="Times New Roman"/>
                <w:b/>
                <w:bCs/>
                <w:color w:val="000000"/>
              </w:rPr>
            </w:pPr>
          </w:p>
        </w:tc>
      </w:tr>
      <w:tr w:rsidR="00E31628" w:rsidRPr="007B6063" w:rsidTr="00BF7D77">
        <w:trPr>
          <w:trHeight w:val="285"/>
        </w:trPr>
        <w:tc>
          <w:tcPr>
            <w:tcW w:w="4540" w:type="dxa"/>
            <w:tcBorders>
              <w:top w:val="nil"/>
              <w:left w:val="single" w:sz="8" w:space="0" w:color="auto"/>
              <w:bottom w:val="single" w:sz="4" w:space="0" w:color="auto"/>
              <w:right w:val="single" w:sz="8" w:space="0" w:color="auto"/>
            </w:tcBorders>
            <w:shd w:val="clear" w:color="auto" w:fill="auto"/>
            <w:vAlign w:val="center"/>
            <w:hideMark/>
          </w:tcPr>
          <w:p w:rsidR="00E31628" w:rsidRPr="007B6063" w:rsidRDefault="00E31628" w:rsidP="00672C83">
            <w:pPr>
              <w:spacing w:after="0" w:line="240" w:lineRule="auto"/>
              <w:rPr>
                <w:rFonts w:ascii="Cambria" w:eastAsia="Times New Roman" w:hAnsi="Cambria" w:cs="Times New Roman"/>
                <w:b/>
                <w:bCs/>
                <w:color w:val="000000"/>
              </w:rPr>
            </w:pPr>
            <w:r w:rsidRPr="007B6063">
              <w:rPr>
                <w:rFonts w:ascii="Cambria" w:eastAsia="Times New Roman" w:hAnsi="Cambria" w:cs="Times New Roman"/>
                <w:b/>
                <w:bCs/>
                <w:color w:val="000000"/>
              </w:rPr>
              <w:t>1- Customs Authority Revenues</w:t>
            </w:r>
          </w:p>
        </w:tc>
        <w:tc>
          <w:tcPr>
            <w:tcW w:w="1300" w:type="dxa"/>
            <w:tcBorders>
              <w:top w:val="nil"/>
              <w:left w:val="nil"/>
              <w:bottom w:val="single" w:sz="4" w:space="0" w:color="auto"/>
              <w:right w:val="single" w:sz="8" w:space="0" w:color="auto"/>
            </w:tcBorders>
            <w:shd w:val="clear" w:color="auto" w:fill="auto"/>
            <w:noWrap/>
            <w:vAlign w:val="center"/>
            <w:hideMark/>
          </w:tcPr>
          <w:p w:rsidR="00E31628" w:rsidRPr="007B6063" w:rsidRDefault="00E31628" w:rsidP="00672C83">
            <w:pPr>
              <w:spacing w:after="0" w:line="240" w:lineRule="auto"/>
              <w:jc w:val="center"/>
              <w:rPr>
                <w:rFonts w:ascii="Cambria" w:eastAsia="Times New Roman" w:hAnsi="Cambria" w:cs="Times New Roman"/>
                <w:color w:val="000000"/>
              </w:rPr>
            </w:pPr>
            <w:r w:rsidRPr="007B6063">
              <w:rPr>
                <w:rFonts w:ascii="Cambria" w:eastAsia="Times New Roman" w:hAnsi="Cambria" w:cs="Times New Roman"/>
                <w:color w:val="000000"/>
              </w:rPr>
              <w:t>0.07%</w:t>
            </w:r>
          </w:p>
        </w:tc>
      </w:tr>
      <w:tr w:rsidR="00E31628" w:rsidRPr="007B6063" w:rsidTr="00BF7D77">
        <w:trPr>
          <w:trHeight w:val="285"/>
        </w:trPr>
        <w:tc>
          <w:tcPr>
            <w:tcW w:w="4540" w:type="dxa"/>
            <w:tcBorders>
              <w:top w:val="nil"/>
              <w:left w:val="single" w:sz="8" w:space="0" w:color="auto"/>
              <w:bottom w:val="single" w:sz="4" w:space="0" w:color="auto"/>
              <w:right w:val="single" w:sz="8" w:space="0" w:color="auto"/>
            </w:tcBorders>
            <w:shd w:val="clear" w:color="000000" w:fill="BFBFBF"/>
            <w:vAlign w:val="center"/>
            <w:hideMark/>
          </w:tcPr>
          <w:p w:rsidR="00E31628" w:rsidRPr="007B6063" w:rsidRDefault="00E31628" w:rsidP="00672C83">
            <w:pPr>
              <w:spacing w:after="0" w:line="240" w:lineRule="auto"/>
              <w:rPr>
                <w:rFonts w:ascii="Cambria" w:eastAsia="Times New Roman" w:hAnsi="Cambria" w:cs="Times New Roman"/>
                <w:b/>
                <w:bCs/>
                <w:color w:val="000000"/>
              </w:rPr>
            </w:pPr>
            <w:r w:rsidRPr="007B6063">
              <w:rPr>
                <w:rFonts w:ascii="Cambria" w:eastAsia="Times New Roman" w:hAnsi="Cambria" w:cs="Times New Roman"/>
                <w:b/>
                <w:bCs/>
                <w:color w:val="000000"/>
              </w:rPr>
              <w:t>2- Tax Authority Revenues</w:t>
            </w:r>
          </w:p>
        </w:tc>
        <w:tc>
          <w:tcPr>
            <w:tcW w:w="1300" w:type="dxa"/>
            <w:tcBorders>
              <w:top w:val="nil"/>
              <w:left w:val="nil"/>
              <w:bottom w:val="single" w:sz="4" w:space="0" w:color="auto"/>
              <w:right w:val="single" w:sz="8" w:space="0" w:color="auto"/>
            </w:tcBorders>
            <w:shd w:val="clear" w:color="000000" w:fill="BFBFBF"/>
            <w:noWrap/>
            <w:vAlign w:val="center"/>
            <w:hideMark/>
          </w:tcPr>
          <w:p w:rsidR="00E31628" w:rsidRPr="007B6063" w:rsidRDefault="00E31628" w:rsidP="00672C83">
            <w:pPr>
              <w:spacing w:after="0" w:line="240" w:lineRule="auto"/>
              <w:jc w:val="center"/>
              <w:rPr>
                <w:rFonts w:ascii="Cambria" w:eastAsia="Times New Roman" w:hAnsi="Cambria" w:cs="Times New Roman"/>
                <w:b/>
                <w:bCs/>
                <w:color w:val="000000"/>
              </w:rPr>
            </w:pPr>
            <w:r w:rsidRPr="007B6063">
              <w:rPr>
                <w:rFonts w:ascii="Cambria" w:eastAsia="Times New Roman" w:hAnsi="Cambria" w:cs="Times New Roman"/>
                <w:b/>
                <w:bCs/>
                <w:color w:val="000000"/>
              </w:rPr>
              <w:t>15.84%</w:t>
            </w:r>
          </w:p>
        </w:tc>
      </w:tr>
      <w:tr w:rsidR="00E31628" w:rsidRPr="007B6063" w:rsidTr="00BF7D77">
        <w:trPr>
          <w:trHeight w:val="285"/>
        </w:trPr>
        <w:tc>
          <w:tcPr>
            <w:tcW w:w="4540" w:type="dxa"/>
            <w:tcBorders>
              <w:top w:val="nil"/>
              <w:left w:val="single" w:sz="8" w:space="0" w:color="auto"/>
              <w:bottom w:val="single" w:sz="4" w:space="0" w:color="auto"/>
              <w:right w:val="single" w:sz="8" w:space="0" w:color="auto"/>
            </w:tcBorders>
            <w:shd w:val="clear" w:color="000000" w:fill="BFBFBF"/>
            <w:vAlign w:val="center"/>
            <w:hideMark/>
          </w:tcPr>
          <w:p w:rsidR="00E31628" w:rsidRPr="007B6063" w:rsidRDefault="00E31628" w:rsidP="00672C83">
            <w:pPr>
              <w:spacing w:after="0" w:line="240" w:lineRule="auto"/>
              <w:rPr>
                <w:rFonts w:ascii="Cambria" w:eastAsia="Times New Roman" w:hAnsi="Cambria" w:cs="Times New Roman"/>
                <w:b/>
                <w:bCs/>
                <w:color w:val="000000"/>
              </w:rPr>
            </w:pPr>
            <w:r w:rsidRPr="007B6063">
              <w:rPr>
                <w:rFonts w:ascii="Cambria" w:eastAsia="Times New Roman" w:hAnsi="Cambria" w:cs="Times New Roman"/>
                <w:b/>
                <w:bCs/>
                <w:color w:val="000000"/>
              </w:rPr>
              <w:t>3- Zakat Revenues</w:t>
            </w:r>
          </w:p>
        </w:tc>
        <w:tc>
          <w:tcPr>
            <w:tcW w:w="1300" w:type="dxa"/>
            <w:tcBorders>
              <w:top w:val="nil"/>
              <w:left w:val="nil"/>
              <w:bottom w:val="single" w:sz="4" w:space="0" w:color="auto"/>
              <w:right w:val="single" w:sz="8" w:space="0" w:color="auto"/>
            </w:tcBorders>
            <w:shd w:val="clear" w:color="000000" w:fill="BFBFBF"/>
            <w:noWrap/>
            <w:vAlign w:val="center"/>
            <w:hideMark/>
          </w:tcPr>
          <w:p w:rsidR="00E31628" w:rsidRPr="007B6063" w:rsidRDefault="00E31628" w:rsidP="00672C83">
            <w:pPr>
              <w:spacing w:after="0" w:line="240" w:lineRule="auto"/>
              <w:jc w:val="center"/>
              <w:rPr>
                <w:rFonts w:ascii="Cambria" w:eastAsia="Times New Roman" w:hAnsi="Cambria" w:cs="Times New Roman"/>
                <w:b/>
                <w:bCs/>
                <w:color w:val="000000"/>
              </w:rPr>
            </w:pPr>
            <w:r w:rsidRPr="007B6063">
              <w:rPr>
                <w:rFonts w:ascii="Cambria" w:eastAsia="Times New Roman" w:hAnsi="Cambria" w:cs="Times New Roman"/>
                <w:b/>
                <w:bCs/>
                <w:color w:val="000000"/>
              </w:rPr>
              <w:t>43.45%</w:t>
            </w:r>
          </w:p>
        </w:tc>
      </w:tr>
      <w:tr w:rsidR="00E31628" w:rsidRPr="007B6063" w:rsidTr="00BF7D77">
        <w:trPr>
          <w:trHeight w:val="285"/>
        </w:trPr>
        <w:tc>
          <w:tcPr>
            <w:tcW w:w="4540" w:type="dxa"/>
            <w:tcBorders>
              <w:top w:val="nil"/>
              <w:left w:val="single" w:sz="8" w:space="0" w:color="auto"/>
              <w:bottom w:val="single" w:sz="4" w:space="0" w:color="auto"/>
              <w:right w:val="single" w:sz="8" w:space="0" w:color="auto"/>
            </w:tcBorders>
            <w:shd w:val="clear" w:color="000000" w:fill="BFBFBF"/>
            <w:vAlign w:val="center"/>
            <w:hideMark/>
          </w:tcPr>
          <w:p w:rsidR="00E31628" w:rsidRPr="007B6063" w:rsidRDefault="00E31628" w:rsidP="00672C83">
            <w:pPr>
              <w:spacing w:after="0" w:line="240" w:lineRule="auto"/>
              <w:rPr>
                <w:rFonts w:ascii="Cambria" w:eastAsia="Times New Roman" w:hAnsi="Cambria" w:cs="Times New Roman"/>
                <w:b/>
                <w:bCs/>
                <w:color w:val="000000"/>
              </w:rPr>
            </w:pPr>
            <w:r w:rsidRPr="007B6063">
              <w:rPr>
                <w:rFonts w:ascii="Cambria" w:eastAsia="Times New Roman" w:hAnsi="Cambria" w:cs="Times New Roman"/>
                <w:b/>
                <w:bCs/>
                <w:color w:val="000000"/>
              </w:rPr>
              <w:t xml:space="preserve">4- Other Central Revenues </w:t>
            </w:r>
          </w:p>
        </w:tc>
        <w:tc>
          <w:tcPr>
            <w:tcW w:w="1300" w:type="dxa"/>
            <w:tcBorders>
              <w:top w:val="nil"/>
              <w:left w:val="nil"/>
              <w:bottom w:val="single" w:sz="4" w:space="0" w:color="auto"/>
              <w:right w:val="single" w:sz="8" w:space="0" w:color="auto"/>
            </w:tcBorders>
            <w:shd w:val="clear" w:color="000000" w:fill="BFBFBF"/>
            <w:noWrap/>
            <w:vAlign w:val="center"/>
            <w:hideMark/>
          </w:tcPr>
          <w:p w:rsidR="00E31628" w:rsidRPr="007B6063" w:rsidRDefault="00E31628" w:rsidP="00672C83">
            <w:pPr>
              <w:spacing w:after="0" w:line="240" w:lineRule="auto"/>
              <w:jc w:val="center"/>
              <w:rPr>
                <w:rFonts w:ascii="Cambria" w:eastAsia="Times New Roman" w:hAnsi="Cambria" w:cs="Times New Roman"/>
                <w:b/>
                <w:bCs/>
                <w:color w:val="000000"/>
              </w:rPr>
            </w:pPr>
            <w:r w:rsidRPr="007B6063">
              <w:rPr>
                <w:rFonts w:ascii="Cambria" w:eastAsia="Times New Roman" w:hAnsi="Cambria" w:cs="Times New Roman"/>
                <w:b/>
                <w:bCs/>
                <w:color w:val="000000"/>
              </w:rPr>
              <w:t>36.40%</w:t>
            </w:r>
          </w:p>
        </w:tc>
      </w:tr>
      <w:tr w:rsidR="00E31628" w:rsidRPr="007B6063" w:rsidTr="00BF7D77">
        <w:trPr>
          <w:trHeight w:val="300"/>
        </w:trPr>
        <w:tc>
          <w:tcPr>
            <w:tcW w:w="4540" w:type="dxa"/>
            <w:tcBorders>
              <w:top w:val="nil"/>
              <w:left w:val="single" w:sz="8" w:space="0" w:color="auto"/>
              <w:bottom w:val="nil"/>
              <w:right w:val="single" w:sz="8" w:space="0" w:color="auto"/>
            </w:tcBorders>
            <w:shd w:val="clear" w:color="auto" w:fill="auto"/>
            <w:noWrap/>
            <w:vAlign w:val="bottom"/>
            <w:hideMark/>
          </w:tcPr>
          <w:p w:rsidR="00E31628" w:rsidRPr="007B6063" w:rsidRDefault="00E31628" w:rsidP="00672C83">
            <w:pPr>
              <w:spacing w:after="0" w:line="240" w:lineRule="auto"/>
              <w:rPr>
                <w:rFonts w:ascii="Cambria" w:eastAsia="Times New Roman" w:hAnsi="Cambria" w:cs="Times New Roman"/>
                <w:b/>
                <w:bCs/>
                <w:color w:val="000000"/>
              </w:rPr>
            </w:pPr>
            <w:r w:rsidRPr="007B6063">
              <w:rPr>
                <w:rFonts w:ascii="Cambria" w:eastAsia="Times New Roman" w:hAnsi="Cambria" w:cs="Times New Roman"/>
                <w:b/>
                <w:bCs/>
                <w:color w:val="000000"/>
              </w:rPr>
              <w:t>5- Change In Deposits Of Local Authorities</w:t>
            </w:r>
          </w:p>
        </w:tc>
        <w:tc>
          <w:tcPr>
            <w:tcW w:w="1300" w:type="dxa"/>
            <w:tcBorders>
              <w:top w:val="nil"/>
              <w:left w:val="nil"/>
              <w:bottom w:val="nil"/>
              <w:right w:val="single" w:sz="8" w:space="0" w:color="auto"/>
            </w:tcBorders>
            <w:shd w:val="clear" w:color="auto" w:fill="auto"/>
            <w:noWrap/>
            <w:vAlign w:val="center"/>
            <w:hideMark/>
          </w:tcPr>
          <w:p w:rsidR="00E31628" w:rsidRPr="007B6063" w:rsidRDefault="00E31628" w:rsidP="00672C83">
            <w:pPr>
              <w:spacing w:after="0" w:line="240" w:lineRule="auto"/>
              <w:jc w:val="center"/>
              <w:rPr>
                <w:rFonts w:ascii="Cambria" w:eastAsia="Times New Roman" w:hAnsi="Cambria" w:cs="Times New Roman"/>
                <w:color w:val="000000"/>
              </w:rPr>
            </w:pPr>
            <w:r w:rsidRPr="007B6063">
              <w:rPr>
                <w:rFonts w:ascii="Cambria" w:eastAsia="Times New Roman" w:hAnsi="Cambria" w:cs="Times New Roman"/>
                <w:color w:val="000000"/>
              </w:rPr>
              <w:t>4.25%</w:t>
            </w:r>
          </w:p>
        </w:tc>
      </w:tr>
      <w:tr w:rsidR="00E31628" w:rsidRPr="007B6063" w:rsidTr="00BF7D77">
        <w:trPr>
          <w:trHeight w:val="300"/>
        </w:trPr>
        <w:tc>
          <w:tcPr>
            <w:tcW w:w="4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1628" w:rsidRPr="007B6063" w:rsidRDefault="00E31628" w:rsidP="00672C83">
            <w:pPr>
              <w:spacing w:after="0" w:line="240" w:lineRule="auto"/>
              <w:jc w:val="center"/>
              <w:rPr>
                <w:rFonts w:ascii="Cambria" w:eastAsia="Times New Roman" w:hAnsi="Cambria" w:cs="Times New Roman"/>
                <w:b/>
                <w:bCs/>
                <w:color w:val="000000"/>
              </w:rPr>
            </w:pPr>
            <w:r w:rsidRPr="007B6063">
              <w:rPr>
                <w:rFonts w:ascii="Cambria" w:eastAsia="Times New Roman" w:hAnsi="Cambria" w:cs="Times New Roman"/>
                <w:b/>
                <w:bCs/>
                <w:color w:val="000000"/>
              </w:rPr>
              <w:t>Total Of Local Revenues</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E31628" w:rsidRPr="007B6063" w:rsidRDefault="00E31628" w:rsidP="00672C83">
            <w:pPr>
              <w:spacing w:after="0" w:line="240" w:lineRule="auto"/>
              <w:jc w:val="center"/>
              <w:rPr>
                <w:rFonts w:ascii="Cambria" w:eastAsia="Times New Roman" w:hAnsi="Cambria" w:cs="Times New Roman"/>
                <w:b/>
                <w:bCs/>
                <w:color w:val="000000"/>
              </w:rPr>
            </w:pPr>
            <w:r w:rsidRPr="007B6063">
              <w:rPr>
                <w:rFonts w:ascii="Cambria" w:eastAsia="Times New Roman" w:hAnsi="Cambria" w:cs="Times New Roman"/>
                <w:b/>
                <w:bCs/>
                <w:color w:val="000000"/>
              </w:rPr>
              <w:t>100.00%</w:t>
            </w:r>
          </w:p>
        </w:tc>
      </w:tr>
    </w:tbl>
    <w:p w:rsidR="00E31628" w:rsidRDefault="00E31628" w:rsidP="00E31628">
      <w:pPr>
        <w:pStyle w:val="ListParagraph"/>
        <w:spacing w:line="480" w:lineRule="auto"/>
        <w:ind w:left="0" w:firstLine="709"/>
        <w:rPr>
          <w:rFonts w:asciiTheme="majorHAnsi" w:hAnsiTheme="majorHAnsi" w:cstheme="majorBidi"/>
          <w:sz w:val="24"/>
          <w:szCs w:val="24"/>
        </w:rPr>
      </w:pPr>
    </w:p>
    <w:p w:rsidR="00E31628" w:rsidRPr="003806AA" w:rsidRDefault="004414AE" w:rsidP="00BF7D77">
      <w:pPr>
        <w:spacing w:line="480" w:lineRule="auto"/>
        <w:ind w:firstLine="851"/>
        <w:rPr>
          <w:rFonts w:asciiTheme="majorHAnsi" w:hAnsiTheme="majorHAnsi" w:cstheme="majorBidi"/>
          <w:sz w:val="24"/>
          <w:szCs w:val="24"/>
        </w:rPr>
      </w:pPr>
      <w:r>
        <w:rPr>
          <w:rFonts w:asciiTheme="majorHAnsi" w:hAnsiTheme="majorHAnsi" w:cstheme="majorBidi"/>
          <w:sz w:val="24"/>
          <w:szCs w:val="24"/>
        </w:rPr>
        <w:t xml:space="preserve">Total local revenues can only finance less than 10% of total local expending except for the City of Sana'a (30% of its total expending because </w:t>
      </w:r>
      <w:r w:rsidR="00BF7D77">
        <w:rPr>
          <w:rFonts w:asciiTheme="majorHAnsi" w:hAnsiTheme="majorHAnsi" w:cstheme="majorBidi"/>
          <w:sz w:val="24"/>
          <w:szCs w:val="24"/>
        </w:rPr>
        <w:t xml:space="preserve">of its population size and </w:t>
      </w:r>
      <w:r>
        <w:rPr>
          <w:rFonts w:asciiTheme="majorHAnsi" w:hAnsiTheme="majorHAnsi" w:cstheme="majorBidi"/>
          <w:sz w:val="24"/>
          <w:szCs w:val="24"/>
        </w:rPr>
        <w:t>the</w:t>
      </w:r>
      <w:r w:rsidR="00BF7D77">
        <w:rPr>
          <w:rFonts w:asciiTheme="majorHAnsi" w:hAnsiTheme="majorHAnsi" w:cstheme="majorBidi"/>
          <w:sz w:val="24"/>
          <w:szCs w:val="24"/>
        </w:rPr>
        <w:t xml:space="preserve"> government policy to have </w:t>
      </w:r>
      <w:r>
        <w:rPr>
          <w:rFonts w:asciiTheme="majorHAnsi" w:hAnsiTheme="majorHAnsi" w:cstheme="majorBidi"/>
          <w:sz w:val="24"/>
          <w:szCs w:val="24"/>
        </w:rPr>
        <w:t xml:space="preserve"> </w:t>
      </w:r>
      <w:r w:rsidR="00BF7D77">
        <w:rPr>
          <w:rFonts w:asciiTheme="majorHAnsi" w:hAnsiTheme="majorHAnsi" w:cstheme="majorBidi"/>
          <w:sz w:val="24"/>
          <w:szCs w:val="24"/>
        </w:rPr>
        <w:t xml:space="preserve">the headquarters of </w:t>
      </w:r>
      <w:r>
        <w:rPr>
          <w:rFonts w:asciiTheme="majorHAnsi" w:hAnsiTheme="majorHAnsi" w:cstheme="majorBidi"/>
          <w:sz w:val="24"/>
          <w:szCs w:val="24"/>
        </w:rPr>
        <w:t>all private companies in the City of Sana'a).</w:t>
      </w:r>
      <w:r w:rsidR="00BF7D77">
        <w:rPr>
          <w:rFonts w:asciiTheme="majorHAnsi" w:hAnsiTheme="majorHAnsi" w:cstheme="majorBidi"/>
          <w:sz w:val="24"/>
          <w:szCs w:val="24"/>
        </w:rPr>
        <w:t xml:space="preserve"> </w:t>
      </w:r>
      <w:r w:rsidR="00E31628">
        <w:rPr>
          <w:rFonts w:asciiTheme="majorHAnsi" w:hAnsiTheme="majorHAnsi" w:cstheme="majorBidi"/>
          <w:sz w:val="24"/>
          <w:szCs w:val="24"/>
        </w:rPr>
        <w:t xml:space="preserve">Although the current financial regulations allow local authority to raise more revenues from different sources, the historical data suggest weak local capacity to raise needed revenues.  There are many factors influencing local authority' weak revenues collections among them are the general security of the country, the weak rule of the law, the widespread corruption, the reliance on central subsidies, the weak local capacity and the </w:t>
      </w:r>
      <w:r w:rsidR="00E31628">
        <w:rPr>
          <w:rFonts w:asciiTheme="majorHAnsi" w:hAnsiTheme="majorHAnsi" w:cstheme="majorBidi"/>
          <w:sz w:val="24"/>
          <w:szCs w:val="24"/>
        </w:rPr>
        <w:lastRenderedPageBreak/>
        <w:t xml:space="preserve">absence of local voice in decision-making process of fiscal policies. For detailed explanations of local taxes and governorates' collections, see appendix. </w:t>
      </w:r>
    </w:p>
    <w:p w:rsidR="009837A6" w:rsidRDefault="00BF7D77">
      <w:pPr>
        <w:rPr>
          <w:rFonts w:asciiTheme="majorHAnsi" w:hAnsiTheme="majorHAnsi" w:cstheme="majorBidi"/>
          <w:sz w:val="24"/>
          <w:szCs w:val="24"/>
        </w:rPr>
      </w:pPr>
      <w:r w:rsidRPr="009837A6">
        <w:rPr>
          <w:rFonts w:asciiTheme="majorHAnsi" w:hAnsiTheme="majorHAnsi" w:cstheme="majorBidi"/>
          <w:noProof/>
          <w:sz w:val="24"/>
          <w:szCs w:val="24"/>
        </w:rPr>
        <w:drawing>
          <wp:inline distT="0" distB="0" distL="0" distR="0">
            <wp:extent cx="5943600" cy="4549775"/>
            <wp:effectExtent l="19050" t="0" r="19050" b="3175"/>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37A6" w:rsidRDefault="009837A6">
      <w:pPr>
        <w:rPr>
          <w:rFonts w:asciiTheme="majorHAnsi" w:hAnsiTheme="majorHAnsi" w:cstheme="majorBidi"/>
          <w:sz w:val="24"/>
          <w:szCs w:val="24"/>
        </w:rPr>
      </w:pPr>
    </w:p>
    <w:p w:rsidR="009837A6" w:rsidRDefault="009837A6">
      <w:pPr>
        <w:rPr>
          <w:rFonts w:asciiTheme="majorHAnsi" w:hAnsiTheme="majorHAnsi" w:cstheme="majorBidi"/>
          <w:sz w:val="24"/>
          <w:szCs w:val="24"/>
        </w:rPr>
      </w:pPr>
    </w:p>
    <w:p w:rsidR="009837A6" w:rsidRDefault="009837A6">
      <w:pPr>
        <w:rPr>
          <w:rFonts w:asciiTheme="majorHAnsi" w:hAnsiTheme="majorHAnsi" w:cstheme="majorBidi"/>
          <w:sz w:val="24"/>
          <w:szCs w:val="24"/>
        </w:rPr>
      </w:pPr>
    </w:p>
    <w:p w:rsidR="00CC2484" w:rsidRDefault="00CC2484">
      <w:pPr>
        <w:rPr>
          <w:rFonts w:asciiTheme="majorHAnsi" w:hAnsiTheme="majorHAnsi" w:cstheme="majorBidi"/>
          <w:sz w:val="24"/>
          <w:szCs w:val="24"/>
        </w:rPr>
      </w:pPr>
    </w:p>
    <w:p w:rsidR="006A67FD" w:rsidRDefault="006A67FD">
      <w:pPr>
        <w:rPr>
          <w:rFonts w:asciiTheme="majorHAnsi" w:hAnsiTheme="majorHAnsi" w:cstheme="majorBidi"/>
          <w:sz w:val="24"/>
          <w:szCs w:val="24"/>
        </w:rPr>
      </w:pPr>
    </w:p>
    <w:p w:rsidR="00BF7D77" w:rsidRDefault="00BF7D77">
      <w:pPr>
        <w:rPr>
          <w:rFonts w:asciiTheme="majorHAnsi" w:hAnsiTheme="majorHAnsi" w:cstheme="majorBidi"/>
          <w:sz w:val="24"/>
          <w:szCs w:val="24"/>
        </w:rPr>
      </w:pPr>
    </w:p>
    <w:p w:rsidR="00BF7D77" w:rsidRDefault="00BF7D77">
      <w:pPr>
        <w:rPr>
          <w:rFonts w:asciiTheme="majorHAnsi" w:hAnsiTheme="majorHAnsi" w:cstheme="majorBidi"/>
          <w:sz w:val="24"/>
          <w:szCs w:val="24"/>
        </w:rPr>
      </w:pPr>
    </w:p>
    <w:p w:rsidR="00BF7D77" w:rsidRDefault="00BF7D77">
      <w:pPr>
        <w:rPr>
          <w:rFonts w:asciiTheme="majorHAnsi" w:hAnsiTheme="majorHAnsi" w:cstheme="majorBidi"/>
          <w:sz w:val="24"/>
          <w:szCs w:val="24"/>
        </w:rPr>
      </w:pPr>
    </w:p>
    <w:p w:rsidR="006A67FD" w:rsidRPr="006A67FD" w:rsidRDefault="006A67FD" w:rsidP="00BF7D77">
      <w:pPr>
        <w:jc w:val="center"/>
        <w:rPr>
          <w:rFonts w:asciiTheme="majorHAnsi" w:hAnsiTheme="majorHAnsi" w:cstheme="majorBidi"/>
          <w:b/>
          <w:bCs/>
          <w:sz w:val="24"/>
          <w:szCs w:val="24"/>
        </w:rPr>
      </w:pPr>
      <w:r w:rsidRPr="006A67FD">
        <w:rPr>
          <w:rFonts w:asciiTheme="majorHAnsi" w:hAnsiTheme="majorHAnsi" w:cstheme="majorBidi"/>
          <w:b/>
          <w:bCs/>
          <w:sz w:val="24"/>
          <w:szCs w:val="24"/>
        </w:rPr>
        <w:lastRenderedPageBreak/>
        <w:t>Appendix</w:t>
      </w:r>
    </w:p>
    <w:tbl>
      <w:tblPr>
        <w:tblW w:w="6506" w:type="dxa"/>
        <w:tblInd w:w="98" w:type="dxa"/>
        <w:tblLook w:val="04A0"/>
      </w:tblPr>
      <w:tblGrid>
        <w:gridCol w:w="2380"/>
        <w:gridCol w:w="1333"/>
        <w:gridCol w:w="1360"/>
        <w:gridCol w:w="1667"/>
      </w:tblGrid>
      <w:tr w:rsidR="009837A6" w:rsidRPr="009837A6" w:rsidTr="009837A6">
        <w:trPr>
          <w:trHeight w:val="870"/>
        </w:trPr>
        <w:tc>
          <w:tcPr>
            <w:tcW w:w="2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color w:val="000000"/>
              </w:rPr>
            </w:pPr>
            <w:r w:rsidRPr="009837A6">
              <w:rPr>
                <w:rFonts w:ascii="Cambria" w:eastAsia="Times New Roman" w:hAnsi="Cambria" w:cs="Times New Roman"/>
                <w:b/>
                <w:bCs/>
                <w:color w:val="000000"/>
              </w:rPr>
              <w:t>Governorate</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color w:val="000000"/>
              </w:rPr>
            </w:pPr>
            <w:r w:rsidRPr="009837A6">
              <w:rPr>
                <w:rFonts w:ascii="Cambria" w:eastAsia="Times New Roman" w:hAnsi="Cambria" w:cs="Times New Roman"/>
                <w:b/>
                <w:bCs/>
                <w:color w:val="000000"/>
              </w:rPr>
              <w:t>Population</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color w:val="000000"/>
              </w:rPr>
            </w:pPr>
            <w:r w:rsidRPr="009837A6">
              <w:rPr>
                <w:rFonts w:ascii="Cambria" w:eastAsia="Times New Roman" w:hAnsi="Cambria" w:cs="Times New Roman"/>
                <w:b/>
                <w:bCs/>
                <w:color w:val="000000"/>
              </w:rPr>
              <w:t>Area (km2</w:t>
            </w:r>
          </w:p>
        </w:tc>
        <w:tc>
          <w:tcPr>
            <w:tcW w:w="1466" w:type="dxa"/>
            <w:tcBorders>
              <w:top w:val="single" w:sz="8" w:space="0" w:color="auto"/>
              <w:left w:val="nil"/>
              <w:bottom w:val="single" w:sz="8" w:space="0" w:color="auto"/>
              <w:right w:val="single" w:sz="8"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b/>
                <w:bCs/>
                <w:color w:val="000000"/>
              </w:rPr>
            </w:pPr>
            <w:r w:rsidRPr="009837A6">
              <w:rPr>
                <w:rFonts w:ascii="Cambria" w:eastAsia="Times New Roman" w:hAnsi="Cambria" w:cs="Times New Roman"/>
                <w:b/>
                <w:bCs/>
                <w:color w:val="000000"/>
              </w:rPr>
              <w:t>Density (People/KM2)</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000000" w:fill="BFBFB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Sana'a City</w:t>
            </w:r>
          </w:p>
        </w:tc>
        <w:tc>
          <w:tcPr>
            <w:tcW w:w="1300" w:type="dxa"/>
            <w:tcBorders>
              <w:top w:val="nil"/>
              <w:left w:val="single" w:sz="4" w:space="0" w:color="auto"/>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2,575,347 </w:t>
            </w:r>
          </w:p>
        </w:tc>
        <w:tc>
          <w:tcPr>
            <w:tcW w:w="1360" w:type="dxa"/>
            <w:tcBorders>
              <w:top w:val="nil"/>
              <w:left w:val="nil"/>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126 </w:t>
            </w:r>
          </w:p>
        </w:tc>
        <w:tc>
          <w:tcPr>
            <w:tcW w:w="1466" w:type="dxa"/>
            <w:tcBorders>
              <w:top w:val="nil"/>
              <w:left w:val="nil"/>
              <w:bottom w:val="single" w:sz="4" w:space="0" w:color="auto"/>
              <w:right w:val="single" w:sz="8" w:space="0" w:color="auto"/>
            </w:tcBorders>
            <w:shd w:val="clear" w:color="000000" w:fill="BFBFBF"/>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20,439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Sana'a Governorate</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1,042,468 </w:t>
            </w:r>
          </w:p>
        </w:tc>
        <w:tc>
          <w:tcPr>
            <w:tcW w:w="1360" w:type="dxa"/>
            <w:tcBorders>
              <w:top w:val="nil"/>
              <w:left w:val="nil"/>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15,052 </w:t>
            </w:r>
          </w:p>
        </w:tc>
        <w:tc>
          <w:tcPr>
            <w:tcW w:w="1466" w:type="dxa"/>
            <w:tcBorders>
              <w:top w:val="nil"/>
              <w:left w:val="nil"/>
              <w:bottom w:val="single" w:sz="4" w:space="0" w:color="auto"/>
              <w:right w:val="single" w:sz="8" w:space="0" w:color="auto"/>
            </w:tcBorders>
            <w:shd w:val="clear" w:color="auto" w:fill="auto"/>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69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000000" w:fill="BFBFB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Aden</w:t>
            </w:r>
          </w:p>
        </w:tc>
        <w:tc>
          <w:tcPr>
            <w:tcW w:w="1300" w:type="dxa"/>
            <w:tcBorders>
              <w:top w:val="nil"/>
              <w:left w:val="single" w:sz="4" w:space="0" w:color="auto"/>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589,419 </w:t>
            </w:r>
          </w:p>
        </w:tc>
        <w:tc>
          <w:tcPr>
            <w:tcW w:w="1360" w:type="dxa"/>
            <w:tcBorders>
              <w:top w:val="nil"/>
              <w:left w:val="nil"/>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1,114 </w:t>
            </w:r>
          </w:p>
        </w:tc>
        <w:tc>
          <w:tcPr>
            <w:tcW w:w="1466" w:type="dxa"/>
            <w:tcBorders>
              <w:top w:val="nil"/>
              <w:left w:val="nil"/>
              <w:bottom w:val="single" w:sz="4" w:space="0" w:color="auto"/>
              <w:right w:val="single" w:sz="8" w:space="0" w:color="auto"/>
            </w:tcBorders>
            <w:shd w:val="clear" w:color="000000" w:fill="BFBFBF"/>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529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Taiz</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2,817,696 </w:t>
            </w:r>
          </w:p>
        </w:tc>
        <w:tc>
          <w:tcPr>
            <w:tcW w:w="1360" w:type="dxa"/>
            <w:tcBorders>
              <w:top w:val="nil"/>
              <w:left w:val="nil"/>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12,605 </w:t>
            </w:r>
          </w:p>
        </w:tc>
        <w:tc>
          <w:tcPr>
            <w:tcW w:w="1466" w:type="dxa"/>
            <w:tcBorders>
              <w:top w:val="nil"/>
              <w:left w:val="nil"/>
              <w:bottom w:val="single" w:sz="4" w:space="0" w:color="auto"/>
              <w:right w:val="single" w:sz="8" w:space="0" w:color="auto"/>
            </w:tcBorders>
            <w:shd w:val="clear" w:color="auto" w:fill="auto"/>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224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000000" w:fill="BFBFB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Hudaidah</w:t>
            </w:r>
          </w:p>
        </w:tc>
        <w:tc>
          <w:tcPr>
            <w:tcW w:w="1300" w:type="dxa"/>
            <w:tcBorders>
              <w:top w:val="nil"/>
              <w:left w:val="single" w:sz="4" w:space="0" w:color="auto"/>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2,687,674 </w:t>
            </w:r>
          </w:p>
        </w:tc>
        <w:tc>
          <w:tcPr>
            <w:tcW w:w="1360" w:type="dxa"/>
            <w:tcBorders>
              <w:top w:val="nil"/>
              <w:left w:val="nil"/>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17,509 </w:t>
            </w:r>
          </w:p>
        </w:tc>
        <w:tc>
          <w:tcPr>
            <w:tcW w:w="1466" w:type="dxa"/>
            <w:tcBorders>
              <w:top w:val="nil"/>
              <w:left w:val="nil"/>
              <w:bottom w:val="single" w:sz="4" w:space="0" w:color="auto"/>
              <w:right w:val="single" w:sz="8" w:space="0" w:color="auto"/>
            </w:tcBorders>
            <w:shd w:val="clear" w:color="000000" w:fill="BFBFBF"/>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154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Hadhramot</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1,263,754 </w:t>
            </w:r>
          </w:p>
        </w:tc>
        <w:tc>
          <w:tcPr>
            <w:tcW w:w="1360" w:type="dxa"/>
            <w:tcBorders>
              <w:top w:val="nil"/>
              <w:left w:val="nil"/>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191,737 </w:t>
            </w:r>
          </w:p>
        </w:tc>
        <w:tc>
          <w:tcPr>
            <w:tcW w:w="1466" w:type="dxa"/>
            <w:tcBorders>
              <w:top w:val="nil"/>
              <w:left w:val="nil"/>
              <w:bottom w:val="single" w:sz="4" w:space="0" w:color="auto"/>
              <w:right w:val="single" w:sz="8" w:space="0" w:color="auto"/>
            </w:tcBorders>
            <w:shd w:val="clear" w:color="auto" w:fill="auto"/>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7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000000" w:fill="BFBFB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Ibb</w:t>
            </w:r>
          </w:p>
        </w:tc>
        <w:tc>
          <w:tcPr>
            <w:tcW w:w="1300" w:type="dxa"/>
            <w:tcBorders>
              <w:top w:val="nil"/>
              <w:left w:val="single" w:sz="4" w:space="0" w:color="auto"/>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2,505,816 </w:t>
            </w:r>
          </w:p>
        </w:tc>
        <w:tc>
          <w:tcPr>
            <w:tcW w:w="1360" w:type="dxa"/>
            <w:tcBorders>
              <w:top w:val="nil"/>
              <w:left w:val="nil"/>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6,484 </w:t>
            </w:r>
          </w:p>
        </w:tc>
        <w:tc>
          <w:tcPr>
            <w:tcW w:w="1466" w:type="dxa"/>
            <w:tcBorders>
              <w:top w:val="nil"/>
              <w:left w:val="nil"/>
              <w:bottom w:val="single" w:sz="4" w:space="0" w:color="auto"/>
              <w:right w:val="single" w:sz="8" w:space="0" w:color="auto"/>
            </w:tcBorders>
            <w:shd w:val="clear" w:color="000000" w:fill="BFBFBF"/>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386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Abyan</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764,342 </w:t>
            </w:r>
          </w:p>
        </w:tc>
        <w:tc>
          <w:tcPr>
            <w:tcW w:w="1360" w:type="dxa"/>
            <w:tcBorders>
              <w:top w:val="nil"/>
              <w:left w:val="nil"/>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21,939 </w:t>
            </w:r>
          </w:p>
        </w:tc>
        <w:tc>
          <w:tcPr>
            <w:tcW w:w="1466" w:type="dxa"/>
            <w:tcBorders>
              <w:top w:val="nil"/>
              <w:left w:val="nil"/>
              <w:bottom w:val="single" w:sz="4" w:space="0" w:color="auto"/>
              <w:right w:val="single" w:sz="8" w:space="0" w:color="auto"/>
            </w:tcBorders>
            <w:shd w:val="clear" w:color="auto" w:fill="auto"/>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35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000000" w:fill="BFBFB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Dhamar</w:t>
            </w:r>
          </w:p>
        </w:tc>
        <w:tc>
          <w:tcPr>
            <w:tcW w:w="1300" w:type="dxa"/>
            <w:tcBorders>
              <w:top w:val="nil"/>
              <w:left w:val="single" w:sz="4" w:space="0" w:color="auto"/>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1,645,436 </w:t>
            </w:r>
          </w:p>
        </w:tc>
        <w:tc>
          <w:tcPr>
            <w:tcW w:w="1360" w:type="dxa"/>
            <w:tcBorders>
              <w:top w:val="nil"/>
              <w:left w:val="nil"/>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9,495 </w:t>
            </w:r>
          </w:p>
        </w:tc>
        <w:tc>
          <w:tcPr>
            <w:tcW w:w="1466" w:type="dxa"/>
            <w:tcBorders>
              <w:top w:val="nil"/>
              <w:left w:val="nil"/>
              <w:bottom w:val="single" w:sz="4" w:space="0" w:color="auto"/>
              <w:right w:val="single" w:sz="8" w:space="0" w:color="auto"/>
            </w:tcBorders>
            <w:shd w:val="clear" w:color="000000" w:fill="BFBFBF"/>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173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Shabwah</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546,467 </w:t>
            </w:r>
          </w:p>
        </w:tc>
        <w:tc>
          <w:tcPr>
            <w:tcW w:w="1360" w:type="dxa"/>
            <w:tcBorders>
              <w:top w:val="nil"/>
              <w:left w:val="nil"/>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47,728 </w:t>
            </w:r>
          </w:p>
        </w:tc>
        <w:tc>
          <w:tcPr>
            <w:tcW w:w="1466" w:type="dxa"/>
            <w:tcBorders>
              <w:top w:val="nil"/>
              <w:left w:val="nil"/>
              <w:bottom w:val="single" w:sz="4" w:space="0" w:color="auto"/>
              <w:right w:val="single" w:sz="8" w:space="0" w:color="auto"/>
            </w:tcBorders>
            <w:shd w:val="clear" w:color="auto" w:fill="auto"/>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11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000000" w:fill="BFBFB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Hajjah</w:t>
            </w:r>
          </w:p>
        </w:tc>
        <w:tc>
          <w:tcPr>
            <w:tcW w:w="1300" w:type="dxa"/>
            <w:tcBorders>
              <w:top w:val="nil"/>
              <w:left w:val="single" w:sz="4" w:space="0" w:color="auto"/>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1,811,394 </w:t>
            </w:r>
          </w:p>
        </w:tc>
        <w:tc>
          <w:tcPr>
            <w:tcW w:w="1360" w:type="dxa"/>
            <w:tcBorders>
              <w:top w:val="nil"/>
              <w:left w:val="nil"/>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10,141 </w:t>
            </w:r>
          </w:p>
        </w:tc>
        <w:tc>
          <w:tcPr>
            <w:tcW w:w="1466" w:type="dxa"/>
            <w:tcBorders>
              <w:top w:val="nil"/>
              <w:left w:val="nil"/>
              <w:bottom w:val="single" w:sz="4" w:space="0" w:color="auto"/>
              <w:right w:val="single" w:sz="8" w:space="0" w:color="auto"/>
            </w:tcBorders>
            <w:shd w:val="clear" w:color="000000" w:fill="BFBFBF"/>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179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AL-Baidha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660,105 </w:t>
            </w:r>
          </w:p>
        </w:tc>
        <w:tc>
          <w:tcPr>
            <w:tcW w:w="1360" w:type="dxa"/>
            <w:tcBorders>
              <w:top w:val="nil"/>
              <w:left w:val="nil"/>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11,193 </w:t>
            </w:r>
          </w:p>
        </w:tc>
        <w:tc>
          <w:tcPr>
            <w:tcW w:w="1466" w:type="dxa"/>
            <w:tcBorders>
              <w:top w:val="nil"/>
              <w:left w:val="nil"/>
              <w:bottom w:val="single" w:sz="4" w:space="0" w:color="auto"/>
              <w:right w:val="single" w:sz="8" w:space="0" w:color="auto"/>
            </w:tcBorders>
            <w:shd w:val="clear" w:color="auto" w:fill="auto"/>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59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000000" w:fill="BFBFB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Lahj</w:t>
            </w:r>
          </w:p>
        </w:tc>
        <w:tc>
          <w:tcPr>
            <w:tcW w:w="1300" w:type="dxa"/>
            <w:tcBorders>
              <w:top w:val="nil"/>
              <w:left w:val="single" w:sz="4" w:space="0" w:color="auto"/>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865,791 </w:t>
            </w:r>
          </w:p>
        </w:tc>
        <w:tc>
          <w:tcPr>
            <w:tcW w:w="1360" w:type="dxa"/>
            <w:tcBorders>
              <w:top w:val="nil"/>
              <w:left w:val="nil"/>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15,210 </w:t>
            </w:r>
          </w:p>
        </w:tc>
        <w:tc>
          <w:tcPr>
            <w:tcW w:w="1466" w:type="dxa"/>
            <w:tcBorders>
              <w:top w:val="nil"/>
              <w:left w:val="nil"/>
              <w:bottom w:val="single" w:sz="4" w:space="0" w:color="auto"/>
              <w:right w:val="single" w:sz="8" w:space="0" w:color="auto"/>
            </w:tcBorders>
            <w:shd w:val="clear" w:color="000000" w:fill="BFBFBF"/>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57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000000" w:fill="FFFFF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Sa'adah</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887,482 </w:t>
            </w:r>
          </w:p>
        </w:tc>
        <w:tc>
          <w:tcPr>
            <w:tcW w:w="1360" w:type="dxa"/>
            <w:tcBorders>
              <w:top w:val="nil"/>
              <w:left w:val="nil"/>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15,022 </w:t>
            </w:r>
          </w:p>
        </w:tc>
        <w:tc>
          <w:tcPr>
            <w:tcW w:w="1466" w:type="dxa"/>
            <w:tcBorders>
              <w:top w:val="nil"/>
              <w:left w:val="nil"/>
              <w:bottom w:val="single" w:sz="4" w:space="0" w:color="auto"/>
              <w:right w:val="single" w:sz="8" w:space="0" w:color="auto"/>
            </w:tcBorders>
            <w:shd w:val="clear" w:color="auto" w:fill="auto"/>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59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000000" w:fill="BFBFB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AL-Mahweet</w:t>
            </w:r>
          </w:p>
        </w:tc>
        <w:tc>
          <w:tcPr>
            <w:tcW w:w="1300" w:type="dxa"/>
            <w:tcBorders>
              <w:top w:val="nil"/>
              <w:left w:val="single" w:sz="4" w:space="0" w:color="auto"/>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599,340 </w:t>
            </w:r>
          </w:p>
        </w:tc>
        <w:tc>
          <w:tcPr>
            <w:tcW w:w="1360" w:type="dxa"/>
            <w:tcBorders>
              <w:top w:val="nil"/>
              <w:left w:val="nil"/>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2,858 </w:t>
            </w:r>
          </w:p>
        </w:tc>
        <w:tc>
          <w:tcPr>
            <w:tcW w:w="1466" w:type="dxa"/>
            <w:tcBorders>
              <w:top w:val="nil"/>
              <w:left w:val="nil"/>
              <w:bottom w:val="single" w:sz="4" w:space="0" w:color="auto"/>
              <w:right w:val="single" w:sz="8" w:space="0" w:color="auto"/>
            </w:tcBorders>
            <w:shd w:val="clear" w:color="000000" w:fill="BFBFBF"/>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210 </w:t>
            </w:r>
          </w:p>
        </w:tc>
      </w:tr>
      <w:tr w:rsidR="009837A6" w:rsidRPr="009837A6" w:rsidTr="009837A6">
        <w:trPr>
          <w:trHeight w:val="435"/>
        </w:trPr>
        <w:tc>
          <w:tcPr>
            <w:tcW w:w="2380" w:type="dxa"/>
            <w:tcBorders>
              <w:top w:val="nil"/>
              <w:left w:val="single" w:sz="8" w:space="0" w:color="auto"/>
              <w:bottom w:val="single" w:sz="4" w:space="0" w:color="auto"/>
              <w:right w:val="nil"/>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AL-Maharah</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122,453 </w:t>
            </w:r>
          </w:p>
        </w:tc>
        <w:tc>
          <w:tcPr>
            <w:tcW w:w="1360" w:type="dxa"/>
            <w:tcBorders>
              <w:top w:val="nil"/>
              <w:left w:val="nil"/>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82,405 </w:t>
            </w:r>
          </w:p>
        </w:tc>
        <w:tc>
          <w:tcPr>
            <w:tcW w:w="1466" w:type="dxa"/>
            <w:tcBorders>
              <w:top w:val="nil"/>
              <w:left w:val="nil"/>
              <w:bottom w:val="single" w:sz="4" w:space="0" w:color="auto"/>
              <w:right w:val="single" w:sz="8" w:space="0" w:color="auto"/>
            </w:tcBorders>
            <w:shd w:val="clear" w:color="auto" w:fill="auto"/>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1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000000" w:fill="BFBFB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Ma'arib</w:t>
            </w:r>
          </w:p>
        </w:tc>
        <w:tc>
          <w:tcPr>
            <w:tcW w:w="1300" w:type="dxa"/>
            <w:tcBorders>
              <w:top w:val="nil"/>
              <w:left w:val="single" w:sz="4" w:space="0" w:color="auto"/>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291,403 </w:t>
            </w:r>
          </w:p>
        </w:tc>
        <w:tc>
          <w:tcPr>
            <w:tcW w:w="1360" w:type="dxa"/>
            <w:tcBorders>
              <w:top w:val="nil"/>
              <w:left w:val="nil"/>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20,023 </w:t>
            </w:r>
          </w:p>
        </w:tc>
        <w:tc>
          <w:tcPr>
            <w:tcW w:w="1466" w:type="dxa"/>
            <w:tcBorders>
              <w:top w:val="nil"/>
              <w:left w:val="nil"/>
              <w:bottom w:val="single" w:sz="4" w:space="0" w:color="auto"/>
              <w:right w:val="single" w:sz="8" w:space="0" w:color="auto"/>
            </w:tcBorders>
            <w:shd w:val="clear" w:color="000000" w:fill="BFBFBF"/>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15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AL-Jawf</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534,408 </w:t>
            </w:r>
          </w:p>
        </w:tc>
        <w:tc>
          <w:tcPr>
            <w:tcW w:w="1360" w:type="dxa"/>
            <w:tcBorders>
              <w:top w:val="nil"/>
              <w:left w:val="nil"/>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30,620 </w:t>
            </w:r>
          </w:p>
        </w:tc>
        <w:tc>
          <w:tcPr>
            <w:tcW w:w="1466" w:type="dxa"/>
            <w:tcBorders>
              <w:top w:val="nil"/>
              <w:left w:val="nil"/>
              <w:bottom w:val="single" w:sz="4" w:space="0" w:color="auto"/>
              <w:right w:val="single" w:sz="8" w:space="0" w:color="auto"/>
            </w:tcBorders>
            <w:shd w:val="clear" w:color="auto" w:fill="auto"/>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17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000000" w:fill="BFBFB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Amran</w:t>
            </w:r>
          </w:p>
        </w:tc>
        <w:tc>
          <w:tcPr>
            <w:tcW w:w="1300" w:type="dxa"/>
            <w:tcBorders>
              <w:top w:val="nil"/>
              <w:left w:val="single" w:sz="4" w:space="0" w:color="auto"/>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967,634 </w:t>
            </w:r>
          </w:p>
        </w:tc>
        <w:tc>
          <w:tcPr>
            <w:tcW w:w="1360" w:type="dxa"/>
            <w:tcBorders>
              <w:top w:val="nil"/>
              <w:left w:val="nil"/>
              <w:bottom w:val="single" w:sz="4"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9,587 </w:t>
            </w:r>
          </w:p>
        </w:tc>
        <w:tc>
          <w:tcPr>
            <w:tcW w:w="1466" w:type="dxa"/>
            <w:tcBorders>
              <w:top w:val="nil"/>
              <w:left w:val="nil"/>
              <w:bottom w:val="single" w:sz="4" w:space="0" w:color="auto"/>
              <w:right w:val="single" w:sz="8" w:space="0" w:color="auto"/>
            </w:tcBorders>
            <w:shd w:val="clear" w:color="000000" w:fill="BFBFBF"/>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101 </w:t>
            </w:r>
          </w:p>
        </w:tc>
      </w:tr>
      <w:tr w:rsidR="009837A6" w:rsidRPr="009837A6" w:rsidTr="009837A6">
        <w:trPr>
          <w:trHeight w:val="315"/>
        </w:trPr>
        <w:tc>
          <w:tcPr>
            <w:tcW w:w="2380" w:type="dxa"/>
            <w:tcBorders>
              <w:top w:val="nil"/>
              <w:left w:val="single" w:sz="8" w:space="0" w:color="auto"/>
              <w:bottom w:val="single" w:sz="4" w:space="0" w:color="auto"/>
              <w:right w:val="nil"/>
            </w:tcBorders>
            <w:shd w:val="clear" w:color="auto" w:fill="auto"/>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AL-Dhalia'a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597,936 </w:t>
            </w:r>
          </w:p>
        </w:tc>
        <w:tc>
          <w:tcPr>
            <w:tcW w:w="1360" w:type="dxa"/>
            <w:tcBorders>
              <w:top w:val="nil"/>
              <w:left w:val="nil"/>
              <w:bottom w:val="single" w:sz="4" w:space="0" w:color="auto"/>
              <w:right w:val="single" w:sz="4" w:space="0" w:color="auto"/>
            </w:tcBorders>
            <w:shd w:val="clear" w:color="auto" w:fill="auto"/>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4,786 </w:t>
            </w:r>
          </w:p>
        </w:tc>
        <w:tc>
          <w:tcPr>
            <w:tcW w:w="1466" w:type="dxa"/>
            <w:tcBorders>
              <w:top w:val="nil"/>
              <w:left w:val="nil"/>
              <w:bottom w:val="single" w:sz="4" w:space="0" w:color="auto"/>
              <w:right w:val="single" w:sz="8" w:space="0" w:color="auto"/>
            </w:tcBorders>
            <w:shd w:val="clear" w:color="auto" w:fill="auto"/>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125 </w:t>
            </w:r>
          </w:p>
        </w:tc>
      </w:tr>
      <w:tr w:rsidR="009837A6" w:rsidRPr="009837A6" w:rsidTr="009837A6">
        <w:trPr>
          <w:trHeight w:val="330"/>
        </w:trPr>
        <w:tc>
          <w:tcPr>
            <w:tcW w:w="2380" w:type="dxa"/>
            <w:tcBorders>
              <w:top w:val="nil"/>
              <w:left w:val="single" w:sz="8" w:space="0" w:color="auto"/>
              <w:bottom w:val="single" w:sz="8" w:space="0" w:color="auto"/>
              <w:right w:val="nil"/>
            </w:tcBorders>
            <w:shd w:val="clear" w:color="000000" w:fill="BFBFBF"/>
            <w:noWrap/>
            <w:vAlign w:val="center"/>
            <w:hideMark/>
          </w:tcPr>
          <w:p w:rsidR="009837A6" w:rsidRPr="009837A6" w:rsidRDefault="009837A6" w:rsidP="009837A6">
            <w:pPr>
              <w:spacing w:after="0" w:line="240" w:lineRule="auto"/>
              <w:jc w:val="center"/>
              <w:rPr>
                <w:rFonts w:ascii="Cambria" w:eastAsia="Times New Roman" w:hAnsi="Cambria" w:cs="Times New Roman"/>
                <w:b/>
                <w:bCs/>
                <w:sz w:val="24"/>
                <w:szCs w:val="24"/>
              </w:rPr>
            </w:pPr>
            <w:r w:rsidRPr="009837A6">
              <w:rPr>
                <w:rFonts w:ascii="Cambria" w:eastAsia="Times New Roman" w:hAnsi="Cambria" w:cs="Times New Roman"/>
                <w:b/>
                <w:bCs/>
                <w:sz w:val="24"/>
                <w:szCs w:val="24"/>
              </w:rPr>
              <w:t>Raima</w:t>
            </w:r>
          </w:p>
        </w:tc>
        <w:tc>
          <w:tcPr>
            <w:tcW w:w="1300" w:type="dxa"/>
            <w:tcBorders>
              <w:top w:val="nil"/>
              <w:left w:val="single" w:sz="4" w:space="0" w:color="auto"/>
              <w:bottom w:val="single" w:sz="8"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483,196 </w:t>
            </w:r>
          </w:p>
        </w:tc>
        <w:tc>
          <w:tcPr>
            <w:tcW w:w="1360" w:type="dxa"/>
            <w:tcBorders>
              <w:top w:val="nil"/>
              <w:left w:val="nil"/>
              <w:bottom w:val="single" w:sz="8" w:space="0" w:color="auto"/>
              <w:right w:val="single" w:sz="4" w:space="0" w:color="auto"/>
            </w:tcBorders>
            <w:shd w:val="clear" w:color="000000" w:fill="BFBFBF"/>
            <w:vAlign w:val="center"/>
            <w:hideMark/>
          </w:tcPr>
          <w:p w:rsidR="009837A6" w:rsidRPr="009837A6" w:rsidRDefault="009837A6" w:rsidP="009837A6">
            <w:pPr>
              <w:spacing w:after="0" w:line="240" w:lineRule="auto"/>
              <w:jc w:val="center"/>
              <w:rPr>
                <w:rFonts w:ascii="Cambria" w:eastAsia="Times New Roman" w:hAnsi="Cambria" w:cs="Times New Roman"/>
                <w:color w:val="000000"/>
              </w:rPr>
            </w:pPr>
            <w:r w:rsidRPr="009837A6">
              <w:rPr>
                <w:rFonts w:ascii="Cambria" w:eastAsia="Times New Roman" w:hAnsi="Cambria" w:cs="Times New Roman"/>
                <w:color w:val="000000"/>
              </w:rPr>
              <w:t xml:space="preserve">               2,442 </w:t>
            </w:r>
          </w:p>
        </w:tc>
        <w:tc>
          <w:tcPr>
            <w:tcW w:w="1466" w:type="dxa"/>
            <w:tcBorders>
              <w:top w:val="nil"/>
              <w:left w:val="nil"/>
              <w:bottom w:val="single" w:sz="8" w:space="0" w:color="auto"/>
              <w:right w:val="single" w:sz="8" w:space="0" w:color="auto"/>
            </w:tcBorders>
            <w:shd w:val="clear" w:color="000000" w:fill="BFBFBF"/>
            <w:noWrap/>
            <w:vAlign w:val="bottom"/>
            <w:hideMark/>
          </w:tcPr>
          <w:p w:rsidR="009837A6" w:rsidRPr="009837A6" w:rsidRDefault="009837A6" w:rsidP="009837A6">
            <w:pPr>
              <w:spacing w:after="0" w:line="240" w:lineRule="auto"/>
              <w:rPr>
                <w:rFonts w:ascii="Cambria" w:eastAsia="Times New Roman" w:hAnsi="Cambria" w:cs="Times New Roman"/>
                <w:color w:val="000000"/>
              </w:rPr>
            </w:pPr>
            <w:r w:rsidRPr="009837A6">
              <w:rPr>
                <w:rFonts w:ascii="Cambria" w:eastAsia="Times New Roman" w:hAnsi="Cambria" w:cs="Times New Roman"/>
                <w:color w:val="000000"/>
              </w:rPr>
              <w:t xml:space="preserve">             198 </w:t>
            </w:r>
          </w:p>
        </w:tc>
      </w:tr>
    </w:tbl>
    <w:p w:rsidR="00116C7F" w:rsidRDefault="00116C7F">
      <w:pPr>
        <w:rPr>
          <w:rFonts w:asciiTheme="majorHAnsi" w:hAnsiTheme="majorHAnsi" w:cstheme="majorBidi"/>
          <w:sz w:val="24"/>
          <w:szCs w:val="24"/>
        </w:rPr>
      </w:pPr>
      <w:r>
        <w:rPr>
          <w:rFonts w:asciiTheme="majorHAnsi" w:hAnsiTheme="majorHAnsi" w:cstheme="majorBidi"/>
          <w:sz w:val="24"/>
          <w:szCs w:val="24"/>
        </w:rPr>
        <w:br w:type="page"/>
      </w:r>
    </w:p>
    <w:tbl>
      <w:tblPr>
        <w:tblpPr w:leftFromText="180" w:rightFromText="180" w:horzAnchor="page" w:tblpX="251" w:tblpY="-1052"/>
        <w:tblW w:w="20480" w:type="dxa"/>
        <w:tblLook w:val="04A0"/>
      </w:tblPr>
      <w:tblGrid>
        <w:gridCol w:w="250"/>
        <w:gridCol w:w="142"/>
        <w:gridCol w:w="142"/>
        <w:gridCol w:w="283"/>
        <w:gridCol w:w="1134"/>
        <w:gridCol w:w="567"/>
        <w:gridCol w:w="649"/>
        <w:gridCol w:w="626"/>
        <w:gridCol w:w="568"/>
        <w:gridCol w:w="709"/>
        <w:gridCol w:w="153"/>
        <w:gridCol w:w="414"/>
        <w:gridCol w:w="708"/>
        <w:gridCol w:w="268"/>
        <w:gridCol w:w="58"/>
        <w:gridCol w:w="100"/>
        <w:gridCol w:w="183"/>
        <w:gridCol w:w="666"/>
        <w:gridCol w:w="469"/>
        <w:gridCol w:w="99"/>
        <w:gridCol w:w="851"/>
        <w:gridCol w:w="458"/>
        <w:gridCol w:w="779"/>
        <w:gridCol w:w="242"/>
        <w:gridCol w:w="24"/>
        <w:gridCol w:w="312"/>
        <w:gridCol w:w="52"/>
        <w:gridCol w:w="568"/>
        <w:gridCol w:w="13"/>
        <w:gridCol w:w="388"/>
        <w:gridCol w:w="305"/>
        <w:gridCol w:w="707"/>
        <w:gridCol w:w="1453"/>
        <w:gridCol w:w="591"/>
        <w:gridCol w:w="1248"/>
        <w:gridCol w:w="71"/>
        <w:gridCol w:w="1469"/>
        <w:gridCol w:w="163"/>
        <w:gridCol w:w="806"/>
        <w:gridCol w:w="133"/>
        <w:gridCol w:w="842"/>
        <w:gridCol w:w="817"/>
      </w:tblGrid>
      <w:tr w:rsidR="00116C7F" w:rsidRPr="00116C7F" w:rsidTr="006A67FD">
        <w:trPr>
          <w:gridBefore w:val="4"/>
          <w:wBefore w:w="817" w:type="dxa"/>
          <w:trHeight w:val="315"/>
        </w:trPr>
        <w:tc>
          <w:tcPr>
            <w:tcW w:w="19663" w:type="dxa"/>
            <w:gridSpan w:val="38"/>
            <w:tcBorders>
              <w:top w:val="nil"/>
              <w:left w:val="nil"/>
              <w:bottom w:val="nil"/>
              <w:right w:val="nil"/>
            </w:tcBorders>
            <w:shd w:val="clear" w:color="auto" w:fill="auto"/>
            <w:noWrap/>
            <w:vAlign w:val="center"/>
            <w:hideMark/>
          </w:tcPr>
          <w:p w:rsidR="00116C7F" w:rsidRDefault="00116C7F" w:rsidP="006A67FD">
            <w:pPr>
              <w:spacing w:after="0" w:line="240" w:lineRule="auto"/>
              <w:rPr>
                <w:rFonts w:ascii="Cambria" w:eastAsia="Times New Roman" w:hAnsi="Cambria" w:cs="Times New Roman"/>
                <w:b/>
                <w:bCs/>
                <w:color w:val="000000"/>
                <w:sz w:val="28"/>
                <w:szCs w:val="28"/>
              </w:rPr>
            </w:pPr>
          </w:p>
          <w:p w:rsidR="00116C7F" w:rsidRDefault="00116C7F" w:rsidP="006A67FD">
            <w:pPr>
              <w:spacing w:after="0" w:line="240" w:lineRule="auto"/>
              <w:rPr>
                <w:rFonts w:ascii="Cambria" w:eastAsia="Times New Roman" w:hAnsi="Cambria" w:cs="Times New Roman"/>
                <w:b/>
                <w:bCs/>
                <w:color w:val="000000"/>
                <w:sz w:val="28"/>
                <w:szCs w:val="28"/>
              </w:rPr>
            </w:pPr>
          </w:p>
          <w:p w:rsidR="009837A6" w:rsidRDefault="009837A6" w:rsidP="006A67FD">
            <w:pPr>
              <w:spacing w:after="0" w:line="240" w:lineRule="auto"/>
              <w:rPr>
                <w:rFonts w:ascii="Cambria" w:eastAsia="Times New Roman" w:hAnsi="Cambria" w:cs="Times New Roman"/>
                <w:b/>
                <w:bCs/>
                <w:color w:val="000000"/>
                <w:sz w:val="28"/>
                <w:szCs w:val="28"/>
              </w:rPr>
            </w:pPr>
          </w:p>
          <w:tbl>
            <w:tblPr>
              <w:tblW w:w="7197" w:type="dxa"/>
              <w:tblLook w:val="04A0"/>
            </w:tblPr>
            <w:tblGrid>
              <w:gridCol w:w="1540"/>
              <w:gridCol w:w="478"/>
              <w:gridCol w:w="2382"/>
              <w:gridCol w:w="737"/>
              <w:gridCol w:w="562"/>
              <w:gridCol w:w="478"/>
              <w:gridCol w:w="542"/>
              <w:gridCol w:w="478"/>
            </w:tblGrid>
            <w:tr w:rsidR="006A67FD" w:rsidRPr="006A67FD" w:rsidTr="006A67FD">
              <w:trPr>
                <w:gridAfter w:val="1"/>
                <w:wAfter w:w="478" w:type="dxa"/>
                <w:trHeight w:val="960"/>
              </w:trPr>
              <w:tc>
                <w:tcPr>
                  <w:tcW w:w="6719" w:type="dxa"/>
                  <w:gridSpan w:val="7"/>
                  <w:tcBorders>
                    <w:top w:val="nil"/>
                    <w:left w:val="nil"/>
                    <w:bottom w:val="nil"/>
                    <w:right w:val="nil"/>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24"/>
                      <w:szCs w:val="24"/>
                    </w:rPr>
                  </w:pPr>
                  <w:r w:rsidRPr="006A67FD">
                    <w:rPr>
                      <w:rFonts w:ascii="Cambria" w:eastAsia="Times New Roman" w:hAnsi="Cambria" w:cs="Times New Roman"/>
                      <w:b/>
                      <w:bCs/>
                      <w:color w:val="000000"/>
                      <w:sz w:val="24"/>
                      <w:szCs w:val="24"/>
                    </w:rPr>
                    <w:t>Functions Breakdown with Average Shares and Growth Rates</w:t>
                  </w:r>
                </w:p>
              </w:tc>
            </w:tr>
            <w:tr w:rsidR="006A67FD" w:rsidRPr="006A67FD" w:rsidTr="006A67FD">
              <w:trPr>
                <w:gridAfter w:val="1"/>
                <w:wAfter w:w="478" w:type="dxa"/>
                <w:trHeight w:val="330"/>
              </w:trPr>
              <w:tc>
                <w:tcPr>
                  <w:tcW w:w="1540" w:type="dxa"/>
                  <w:tcBorders>
                    <w:top w:val="nil"/>
                    <w:left w:val="nil"/>
                    <w:bottom w:val="nil"/>
                    <w:right w:val="nil"/>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24"/>
                      <w:szCs w:val="24"/>
                    </w:rPr>
                  </w:pPr>
                  <w:r w:rsidRPr="006A67FD">
                    <w:rPr>
                      <w:rFonts w:ascii="Cambria" w:eastAsia="Times New Roman" w:hAnsi="Cambria" w:cs="Times New Roman"/>
                      <w:b/>
                      <w:bCs/>
                      <w:color w:val="000000"/>
                      <w:sz w:val="24"/>
                      <w:szCs w:val="24"/>
                    </w:rPr>
                    <w:t>(1)</w:t>
                  </w:r>
                </w:p>
              </w:tc>
              <w:tc>
                <w:tcPr>
                  <w:tcW w:w="2860" w:type="dxa"/>
                  <w:gridSpan w:val="2"/>
                  <w:tcBorders>
                    <w:top w:val="nil"/>
                    <w:left w:val="nil"/>
                    <w:bottom w:val="nil"/>
                    <w:right w:val="nil"/>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c>
                <w:tcPr>
                  <w:tcW w:w="1020" w:type="dxa"/>
                  <w:gridSpan w:val="2"/>
                  <w:tcBorders>
                    <w:top w:val="nil"/>
                    <w:left w:val="nil"/>
                    <w:bottom w:val="nil"/>
                    <w:right w:val="nil"/>
                  </w:tcBorders>
                  <w:shd w:val="clear" w:color="auto" w:fill="auto"/>
                  <w:noWrap/>
                  <w:vAlign w:val="bottom"/>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r>
            <w:tr w:rsidR="006A67FD" w:rsidRPr="006A67FD" w:rsidTr="006A67FD">
              <w:trPr>
                <w:trHeight w:val="510"/>
              </w:trPr>
              <w:tc>
                <w:tcPr>
                  <w:tcW w:w="2018" w:type="dxa"/>
                  <w:gridSpan w:val="2"/>
                  <w:tcBorders>
                    <w:top w:val="single" w:sz="8" w:space="0" w:color="auto"/>
                    <w:left w:val="single" w:sz="8" w:space="0" w:color="auto"/>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Function</w:t>
                  </w:r>
                </w:p>
              </w:tc>
              <w:tc>
                <w:tcPr>
                  <w:tcW w:w="3119" w:type="dxa"/>
                  <w:gridSpan w:val="2"/>
                  <w:tcBorders>
                    <w:top w:val="single" w:sz="8" w:space="0" w:color="auto"/>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Government Units</w:t>
                  </w:r>
                </w:p>
              </w:tc>
              <w:tc>
                <w:tcPr>
                  <w:tcW w:w="1040" w:type="dxa"/>
                  <w:gridSpan w:val="2"/>
                  <w:tcBorders>
                    <w:top w:val="single" w:sz="8" w:space="0" w:color="auto"/>
                    <w:left w:val="nil"/>
                    <w:bottom w:val="nil"/>
                    <w:right w:val="double" w:sz="6" w:space="0" w:color="auto"/>
                  </w:tcBorders>
                  <w:shd w:val="clear" w:color="auto" w:fill="auto"/>
                  <w:vAlign w:val="bottom"/>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Average share</w:t>
                  </w:r>
                </w:p>
              </w:tc>
              <w:tc>
                <w:tcPr>
                  <w:tcW w:w="1020" w:type="dxa"/>
                  <w:gridSpan w:val="2"/>
                  <w:tcBorders>
                    <w:top w:val="single" w:sz="8" w:space="0" w:color="auto"/>
                    <w:left w:val="nil"/>
                    <w:bottom w:val="nil"/>
                    <w:right w:val="single" w:sz="8" w:space="0" w:color="auto"/>
                  </w:tcBorders>
                  <w:shd w:val="clear" w:color="auto" w:fill="auto"/>
                  <w:noWrap/>
                  <w:vAlign w:val="bottom"/>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Growth</w:t>
                  </w:r>
                </w:p>
              </w:tc>
            </w:tr>
            <w:tr w:rsidR="006A67FD" w:rsidRPr="006A67FD" w:rsidTr="006A67FD">
              <w:trPr>
                <w:trHeight w:val="495"/>
              </w:trPr>
              <w:tc>
                <w:tcPr>
                  <w:tcW w:w="2018" w:type="dxa"/>
                  <w:gridSpan w:val="2"/>
                  <w:tcBorders>
                    <w:top w:val="single" w:sz="8" w:space="0" w:color="auto"/>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General Public Services</w:t>
                  </w:r>
                </w:p>
              </w:tc>
              <w:tc>
                <w:tcPr>
                  <w:tcW w:w="3119" w:type="dxa"/>
                  <w:gridSpan w:val="2"/>
                  <w:tcBorders>
                    <w:top w:val="single" w:sz="8" w:space="0" w:color="auto"/>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w:t>
                  </w:r>
                </w:p>
              </w:tc>
              <w:tc>
                <w:tcPr>
                  <w:tcW w:w="1040" w:type="dxa"/>
                  <w:gridSpan w:val="2"/>
                  <w:tcBorders>
                    <w:top w:val="single" w:sz="8" w:space="0" w:color="auto"/>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34.24%</w:t>
                  </w:r>
                </w:p>
              </w:tc>
              <w:tc>
                <w:tcPr>
                  <w:tcW w:w="1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8.82%</w:t>
                  </w:r>
                </w:p>
              </w:tc>
            </w:tr>
            <w:tr w:rsidR="006A67FD" w:rsidRPr="006A67FD" w:rsidTr="006A67FD">
              <w:trPr>
                <w:trHeight w:val="495"/>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Presidential Office</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0.92%</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3.83%</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Consultative Council</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0.09%</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12.77%</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Parliament</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0.23%</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5.47%</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Legal Affairs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0.03%</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25.61%</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Parliament and Consultative Councils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222.89%</w:t>
                  </w:r>
                </w:p>
              </w:tc>
            </w:tr>
            <w:tr w:rsidR="006A67FD" w:rsidRPr="006A67FD" w:rsidTr="006A67FD">
              <w:trPr>
                <w:trHeight w:val="27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Cabinet</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0.20%</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3.83%</w:t>
                  </w:r>
                </w:p>
              </w:tc>
            </w:tr>
            <w:tr w:rsidR="006A67FD" w:rsidRPr="006A67FD" w:rsidTr="006A67FD">
              <w:trPr>
                <w:trHeight w:val="27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COCA</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0.21%</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7.66%</w:t>
                  </w:r>
                </w:p>
              </w:tc>
            </w:tr>
            <w:tr w:rsidR="006A67FD" w:rsidRPr="006A67FD" w:rsidTr="006A67FD">
              <w:trPr>
                <w:trHeight w:val="27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Finance</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0.41%</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8.23%</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Central Allocation Of Which:</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7.08%</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-26.05%</w:t>
                  </w:r>
                </w:p>
              </w:tc>
            </w:tr>
            <w:tr w:rsidR="006A67FD" w:rsidRPr="006A67FD" w:rsidTr="006A67FD">
              <w:trPr>
                <w:trHeight w:val="27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Central Subsidies***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14.85%</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11.05%</w:t>
                  </w:r>
                </w:p>
              </w:tc>
            </w:tr>
            <w:tr w:rsidR="00F14AA2"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F14AA2" w:rsidRPr="006A67FD" w:rsidRDefault="00F14AA2"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F14AA2" w:rsidRPr="006A67FD" w:rsidRDefault="00F14AA2"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Interest Subsidies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F14AA2" w:rsidRDefault="00F14AA2">
                  <w:pPr>
                    <w:jc w:val="center"/>
                    <w:rPr>
                      <w:rFonts w:ascii="Cambria" w:hAnsi="Cambria"/>
                      <w:color w:val="000000"/>
                      <w:sz w:val="18"/>
                      <w:szCs w:val="18"/>
                    </w:rPr>
                  </w:pPr>
                  <w:r>
                    <w:rPr>
                      <w:rFonts w:ascii="Cambria" w:hAnsi="Cambria"/>
                      <w:color w:val="000000"/>
                      <w:sz w:val="18"/>
                      <w:szCs w:val="18"/>
                    </w:rPr>
                    <w:t>8.81%</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F14AA2" w:rsidRDefault="00F14AA2">
                  <w:pPr>
                    <w:jc w:val="center"/>
                    <w:rPr>
                      <w:rFonts w:ascii="Cambria" w:hAnsi="Cambria"/>
                      <w:color w:val="000000"/>
                      <w:sz w:val="18"/>
                      <w:szCs w:val="18"/>
                    </w:rPr>
                  </w:pPr>
                  <w:r>
                    <w:rPr>
                      <w:rFonts w:ascii="Cambria" w:hAnsi="Cambria"/>
                      <w:color w:val="000000"/>
                      <w:sz w:val="18"/>
                      <w:szCs w:val="18"/>
                    </w:rPr>
                    <w:t>33.45%</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Customs Authority</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0.25%</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9.86%</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Tax Authority</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0.32%</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10.37%</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External Affairs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0.58%</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-0.20%</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Immigrants Affairs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0.02%</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8.26%</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Human Rights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4.55%</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Central Authority For Scientific Researches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-2.15%</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Yemeni Centre For Studies And Researches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8.30%</w:t>
                  </w:r>
                </w:p>
              </w:tc>
            </w:tr>
            <w:tr w:rsidR="006A67FD" w:rsidRPr="006A67FD" w:rsidTr="006A67FD">
              <w:trPr>
                <w:trHeight w:val="75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lastRenderedPageBreak/>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Civil Services &amp; Insurance</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0.19%</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-5.80%</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National Institute For Administrative Sciences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0.03%</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-1.32%</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Planning and International Cooperation</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0.68%</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-0.83%</w:t>
                  </w:r>
                </w:p>
              </w:tc>
            </w:tr>
            <w:tr w:rsidR="006A67FD" w:rsidRPr="006A67FD" w:rsidTr="006A67FD">
              <w:trPr>
                <w:trHeight w:val="27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Central Statistics Organization</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0.04%</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-2.53%</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State Property And Real State Authority</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0.10%</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-9.44%</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National Centre Of Information</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-4.55%</w:t>
                  </w:r>
                </w:p>
              </w:tc>
            </w:tr>
            <w:tr w:rsidR="006A67FD" w:rsidRPr="006A67FD" w:rsidTr="006A67FD">
              <w:trPr>
                <w:trHeight w:val="27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National Centre Of Documents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-5.02%</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Supreme Committee Of Elections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0.03%</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0.60%</w:t>
                  </w:r>
                </w:p>
              </w:tc>
            </w:tr>
            <w:tr w:rsidR="006A67FD" w:rsidRPr="006A67FD" w:rsidTr="006A67FD">
              <w:trPr>
                <w:trHeight w:val="75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Civil Affairs And Records Authority</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0.07%</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-20.80%</w:t>
                  </w:r>
                </w:p>
              </w:tc>
            </w:tr>
            <w:tr w:rsidR="006A67FD" w:rsidRPr="006A67FD" w:rsidTr="006A67FD">
              <w:trPr>
                <w:trHeight w:val="75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Local Administration Of Which:</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1.08%</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10.03%</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Share Of General Joint Resources ***</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Supreme Committee For Administrative Divisions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r>
            <w:tr w:rsidR="006A67FD" w:rsidRPr="006A67FD" w:rsidTr="006A67FD">
              <w:trPr>
                <w:trHeight w:val="75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G. A. Of Developing Yemeni Islands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-100.00%</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F14AA2">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Supreme Authority </w:t>
                  </w:r>
                  <w:r w:rsidR="00F14AA2">
                    <w:rPr>
                      <w:rFonts w:ascii="Cambria" w:eastAsia="Times New Roman" w:hAnsi="Cambria" w:cs="Times New Roman"/>
                      <w:color w:val="000080"/>
                      <w:sz w:val="18"/>
                      <w:szCs w:val="18"/>
                    </w:rPr>
                    <w:t>Tenders</w:t>
                  </w:r>
                  <w:r w:rsidRPr="006A67FD">
                    <w:rPr>
                      <w:rFonts w:ascii="Cambria" w:eastAsia="Times New Roman" w:hAnsi="Cambria" w:cs="Times New Roman"/>
                      <w:color w:val="000080"/>
                      <w:sz w:val="18"/>
                      <w:szCs w:val="18"/>
                    </w:rPr>
                    <w:t xml:space="preserve"> Control</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386.28%</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F14AA2">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Supreme </w:t>
                  </w:r>
                  <w:r w:rsidR="00F14AA2" w:rsidRPr="006A67FD">
                    <w:rPr>
                      <w:rFonts w:ascii="Cambria" w:eastAsia="Times New Roman" w:hAnsi="Cambria" w:cs="Times New Roman"/>
                      <w:color w:val="000080"/>
                      <w:sz w:val="18"/>
                      <w:szCs w:val="18"/>
                    </w:rPr>
                    <w:t>Committee</w:t>
                  </w:r>
                  <w:r w:rsidRPr="006A67FD">
                    <w:rPr>
                      <w:rFonts w:ascii="Cambria" w:eastAsia="Times New Roman" w:hAnsi="Cambria" w:cs="Times New Roman"/>
                      <w:color w:val="000080"/>
                      <w:sz w:val="18"/>
                      <w:szCs w:val="18"/>
                    </w:rPr>
                    <w:t xml:space="preserve"> For </w:t>
                  </w:r>
                  <w:r w:rsidR="00F14AA2">
                    <w:rPr>
                      <w:rFonts w:ascii="Cambria" w:eastAsia="Times New Roman" w:hAnsi="Cambria" w:cs="Times New Roman"/>
                      <w:color w:val="000080"/>
                      <w:sz w:val="18"/>
                      <w:szCs w:val="18"/>
                    </w:rPr>
                    <w:t>Tenders</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-2.53%</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F14AA2">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National Supreme Authority For </w:t>
                  </w:r>
                  <w:r w:rsidR="00F14AA2">
                    <w:rPr>
                      <w:rFonts w:ascii="Cambria" w:eastAsia="Times New Roman" w:hAnsi="Cambria" w:cs="Times New Roman"/>
                      <w:color w:val="000080"/>
                      <w:sz w:val="18"/>
                      <w:szCs w:val="18"/>
                    </w:rPr>
                    <w:t>Anti-</w:t>
                  </w:r>
                  <w:r w:rsidRPr="006A67FD">
                    <w:rPr>
                      <w:rFonts w:ascii="Cambria" w:eastAsia="Times New Roman" w:hAnsi="Cambria" w:cs="Times New Roman"/>
                      <w:color w:val="000080"/>
                      <w:sz w:val="18"/>
                      <w:szCs w:val="18"/>
                    </w:rPr>
                    <w:t xml:space="preserve"> Corruption</w:t>
                  </w:r>
                </w:p>
              </w:tc>
              <w:tc>
                <w:tcPr>
                  <w:tcW w:w="104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0.02%</w:t>
                  </w:r>
                </w:p>
              </w:tc>
              <w:tc>
                <w:tcPr>
                  <w:tcW w:w="102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11.01%</w:t>
                  </w:r>
                </w:p>
              </w:tc>
            </w:tr>
            <w:tr w:rsidR="006A67FD" w:rsidRPr="006A67FD" w:rsidTr="006A67FD">
              <w:trPr>
                <w:trHeight w:val="510"/>
              </w:trPr>
              <w:tc>
                <w:tcPr>
                  <w:tcW w:w="2018" w:type="dxa"/>
                  <w:gridSpan w:val="2"/>
                  <w:tcBorders>
                    <w:top w:val="nil"/>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General  Authority for Marin And Aquatic </w:t>
                  </w:r>
                  <w:r w:rsidR="00F14AA2" w:rsidRPr="006A67FD">
                    <w:rPr>
                      <w:rFonts w:ascii="Cambria" w:eastAsia="Times New Roman" w:hAnsi="Cambria" w:cs="Times New Roman"/>
                      <w:color w:val="000080"/>
                      <w:sz w:val="18"/>
                      <w:szCs w:val="18"/>
                    </w:rPr>
                    <w:t>Researches</w:t>
                  </w:r>
                </w:p>
              </w:tc>
              <w:tc>
                <w:tcPr>
                  <w:tcW w:w="1040" w:type="dxa"/>
                  <w:gridSpan w:val="2"/>
                  <w:tcBorders>
                    <w:top w:val="nil"/>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1020" w:type="dxa"/>
                  <w:gridSpan w:val="2"/>
                  <w:tcBorders>
                    <w:top w:val="nil"/>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16.26%</w:t>
                  </w:r>
                </w:p>
              </w:tc>
            </w:tr>
          </w:tbl>
          <w:p w:rsidR="006A67FD" w:rsidRDefault="006A67FD" w:rsidP="006A67FD">
            <w:pPr>
              <w:spacing w:after="0" w:line="240" w:lineRule="auto"/>
              <w:rPr>
                <w:rFonts w:ascii="Cambria" w:eastAsia="Times New Roman" w:hAnsi="Cambria" w:cs="Times New Roman"/>
                <w:b/>
                <w:bCs/>
                <w:color w:val="000000"/>
                <w:sz w:val="28"/>
                <w:szCs w:val="28"/>
              </w:rPr>
            </w:pPr>
          </w:p>
          <w:tbl>
            <w:tblPr>
              <w:tblW w:w="7360" w:type="dxa"/>
              <w:tblLook w:val="04A0"/>
            </w:tblPr>
            <w:tblGrid>
              <w:gridCol w:w="1960"/>
              <w:gridCol w:w="3160"/>
              <w:gridCol w:w="1000"/>
              <w:gridCol w:w="1240"/>
            </w:tblGrid>
            <w:tr w:rsidR="006A67FD" w:rsidRPr="006A67FD" w:rsidTr="006A67FD">
              <w:trPr>
                <w:trHeight w:val="330"/>
              </w:trPr>
              <w:tc>
                <w:tcPr>
                  <w:tcW w:w="1960" w:type="dxa"/>
                  <w:tcBorders>
                    <w:top w:val="nil"/>
                    <w:left w:val="nil"/>
                    <w:bottom w:val="nil"/>
                    <w:right w:val="nil"/>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24"/>
                      <w:szCs w:val="24"/>
                    </w:rPr>
                  </w:pPr>
                  <w:r w:rsidRPr="006A67FD">
                    <w:rPr>
                      <w:rFonts w:ascii="Cambria" w:eastAsia="Times New Roman" w:hAnsi="Cambria" w:cs="Times New Roman"/>
                      <w:b/>
                      <w:bCs/>
                      <w:color w:val="000000"/>
                      <w:sz w:val="24"/>
                      <w:szCs w:val="24"/>
                    </w:rPr>
                    <w:t>(2)</w:t>
                  </w:r>
                </w:p>
              </w:tc>
              <w:tc>
                <w:tcPr>
                  <w:tcW w:w="3160" w:type="dxa"/>
                  <w:tcBorders>
                    <w:top w:val="nil"/>
                    <w:left w:val="nil"/>
                    <w:bottom w:val="nil"/>
                    <w:right w:val="nil"/>
                  </w:tcBorders>
                  <w:shd w:val="clear" w:color="auto" w:fill="auto"/>
                  <w:noWrap/>
                  <w:vAlign w:val="bottom"/>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c>
                <w:tcPr>
                  <w:tcW w:w="1000" w:type="dxa"/>
                  <w:tcBorders>
                    <w:top w:val="nil"/>
                    <w:left w:val="nil"/>
                    <w:bottom w:val="nil"/>
                    <w:right w:val="nil"/>
                  </w:tcBorders>
                  <w:shd w:val="clear" w:color="auto" w:fill="auto"/>
                  <w:noWrap/>
                  <w:vAlign w:val="bottom"/>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c>
                <w:tcPr>
                  <w:tcW w:w="1240" w:type="dxa"/>
                  <w:tcBorders>
                    <w:top w:val="nil"/>
                    <w:left w:val="nil"/>
                    <w:bottom w:val="nil"/>
                    <w:right w:val="nil"/>
                  </w:tcBorders>
                  <w:shd w:val="clear" w:color="auto" w:fill="auto"/>
                  <w:noWrap/>
                  <w:vAlign w:val="bottom"/>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r>
            <w:tr w:rsidR="006A67FD" w:rsidRPr="006A67FD" w:rsidTr="006A67FD">
              <w:trPr>
                <w:trHeight w:val="510"/>
              </w:trPr>
              <w:tc>
                <w:tcPr>
                  <w:tcW w:w="1960" w:type="dxa"/>
                  <w:tcBorders>
                    <w:top w:val="double" w:sz="6" w:space="0" w:color="auto"/>
                    <w:left w:val="double" w:sz="6" w:space="0" w:color="auto"/>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Function</w:t>
                  </w:r>
                </w:p>
              </w:tc>
              <w:tc>
                <w:tcPr>
                  <w:tcW w:w="3160" w:type="dxa"/>
                  <w:tcBorders>
                    <w:top w:val="double" w:sz="6" w:space="0" w:color="auto"/>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Government Units</w:t>
                  </w:r>
                </w:p>
              </w:tc>
              <w:tc>
                <w:tcPr>
                  <w:tcW w:w="1000" w:type="dxa"/>
                  <w:tcBorders>
                    <w:top w:val="double" w:sz="6" w:space="0" w:color="auto"/>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Average share</w:t>
                  </w:r>
                </w:p>
              </w:tc>
              <w:tc>
                <w:tcPr>
                  <w:tcW w:w="1240" w:type="dxa"/>
                  <w:tcBorders>
                    <w:top w:val="double" w:sz="6" w:space="0" w:color="auto"/>
                    <w:left w:val="nil"/>
                    <w:bottom w:val="nil"/>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Growth</w:t>
                  </w:r>
                </w:p>
              </w:tc>
            </w:tr>
            <w:tr w:rsidR="006A67FD" w:rsidRPr="006A67FD" w:rsidTr="006A67FD">
              <w:trPr>
                <w:trHeight w:val="495"/>
              </w:trPr>
              <w:tc>
                <w:tcPr>
                  <w:tcW w:w="1960" w:type="dxa"/>
                  <w:tcBorders>
                    <w:top w:val="single" w:sz="8" w:space="0" w:color="auto"/>
                    <w:left w:val="single" w:sz="8" w:space="0" w:color="auto"/>
                    <w:bottom w:val="single" w:sz="8" w:space="0" w:color="auto"/>
                    <w:right w:val="double" w:sz="6" w:space="0" w:color="auto"/>
                  </w:tcBorders>
                  <w:shd w:val="clear" w:color="auto" w:fill="auto"/>
                  <w:vAlign w:val="center"/>
                  <w:hideMark/>
                </w:tcPr>
                <w:p w:rsidR="006A67FD" w:rsidRPr="006A67FD" w:rsidRDefault="00F14AA2"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Defense</w:t>
                  </w:r>
                </w:p>
              </w:tc>
              <w:tc>
                <w:tcPr>
                  <w:tcW w:w="3160" w:type="dxa"/>
                  <w:tcBorders>
                    <w:top w:val="single" w:sz="8" w:space="0" w:color="auto"/>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w:t>
                  </w:r>
                </w:p>
              </w:tc>
              <w:tc>
                <w:tcPr>
                  <w:tcW w:w="1000" w:type="dxa"/>
                  <w:tcBorders>
                    <w:top w:val="single" w:sz="8" w:space="0" w:color="auto"/>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14.77%</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2.48%</w:t>
                  </w:r>
                </w:p>
              </w:tc>
            </w:tr>
            <w:tr w:rsidR="006A67FD" w:rsidRPr="006A67FD" w:rsidTr="006A67FD">
              <w:trPr>
                <w:trHeight w:val="495"/>
              </w:trPr>
              <w:tc>
                <w:tcPr>
                  <w:tcW w:w="1960" w:type="dxa"/>
                  <w:tcBorders>
                    <w:top w:val="nil"/>
                    <w:left w:val="single" w:sz="8" w:space="0" w:color="auto"/>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1F497D"/>
                      <w:sz w:val="18"/>
                      <w:szCs w:val="18"/>
                    </w:rPr>
                  </w:pPr>
                  <w:r w:rsidRPr="006A67FD">
                    <w:rPr>
                      <w:rFonts w:ascii="Cambria" w:eastAsia="Times New Roman" w:hAnsi="Cambria" w:cs="Times New Roman"/>
                      <w:color w:val="1F497D"/>
                      <w:sz w:val="18"/>
                      <w:szCs w:val="18"/>
                    </w:rPr>
                    <w:t xml:space="preserve">Ministry Of </w:t>
                  </w:r>
                  <w:r w:rsidR="00F14AA2" w:rsidRPr="006A67FD">
                    <w:rPr>
                      <w:rFonts w:ascii="Cambria" w:eastAsia="Times New Roman" w:hAnsi="Cambria" w:cs="Times New Roman"/>
                      <w:color w:val="1F497D"/>
                      <w:sz w:val="18"/>
                      <w:szCs w:val="18"/>
                    </w:rPr>
                    <w:t>Defense</w:t>
                  </w:r>
                </w:p>
              </w:tc>
              <w:tc>
                <w:tcPr>
                  <w:tcW w:w="1000" w:type="dxa"/>
                  <w:tcBorders>
                    <w:top w:val="nil"/>
                    <w:left w:val="nil"/>
                    <w:bottom w:val="nil"/>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14.77%</w:t>
                  </w:r>
                </w:p>
              </w:tc>
              <w:tc>
                <w:tcPr>
                  <w:tcW w:w="1240" w:type="dxa"/>
                  <w:tcBorders>
                    <w:top w:val="nil"/>
                    <w:left w:val="nil"/>
                    <w:bottom w:val="nil"/>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2.48%</w:t>
                  </w:r>
                </w:p>
              </w:tc>
            </w:tr>
            <w:tr w:rsidR="006A67FD" w:rsidRPr="006A67FD" w:rsidTr="006A67FD">
              <w:trPr>
                <w:trHeight w:val="510"/>
              </w:trPr>
              <w:tc>
                <w:tcPr>
                  <w:tcW w:w="1960" w:type="dxa"/>
                  <w:tcBorders>
                    <w:top w:val="single" w:sz="8" w:space="0" w:color="auto"/>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xml:space="preserve">Regulation &amp; Public Security </w:t>
                  </w:r>
                </w:p>
              </w:tc>
              <w:tc>
                <w:tcPr>
                  <w:tcW w:w="3160" w:type="dxa"/>
                  <w:tcBorders>
                    <w:top w:val="single" w:sz="8" w:space="0" w:color="auto"/>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w:t>
                  </w:r>
                </w:p>
              </w:tc>
              <w:tc>
                <w:tcPr>
                  <w:tcW w:w="1000" w:type="dxa"/>
                  <w:tcBorders>
                    <w:top w:val="single" w:sz="8" w:space="0" w:color="auto"/>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6.66%</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7.56%</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lastRenderedPageBreak/>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Interior</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4.96%</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10.13%</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Immigration, Passport And Nationality Authority</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0.06%</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-0.78%</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Judicial Authorities</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0.80%</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5.80%</w:t>
                  </w:r>
                </w:p>
              </w:tc>
            </w:tr>
            <w:tr w:rsidR="006A67FD" w:rsidRPr="006A67FD" w:rsidTr="006A67FD">
              <w:trPr>
                <w:trHeight w:val="27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Prison Authority</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0.08%</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-0.66%</w:t>
                  </w:r>
                </w:p>
              </w:tc>
            </w:tr>
            <w:tr w:rsidR="006A67FD" w:rsidRPr="006A67FD" w:rsidTr="006A67FD">
              <w:trPr>
                <w:trHeight w:val="27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Central Office Of Political Security</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0.57%</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3.61%</w:t>
                  </w:r>
                </w:p>
              </w:tc>
            </w:tr>
            <w:tr w:rsidR="006A67FD" w:rsidRPr="006A67FD" w:rsidTr="006A67FD">
              <w:trPr>
                <w:trHeight w:val="27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Coast Guards Authority</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0.10%</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-16.93%</w:t>
                  </w:r>
                </w:p>
              </w:tc>
            </w:tr>
            <w:tr w:rsidR="006A67FD" w:rsidRPr="006A67FD" w:rsidTr="006A67FD">
              <w:trPr>
                <w:trHeight w:val="510"/>
              </w:trPr>
              <w:tc>
                <w:tcPr>
                  <w:tcW w:w="1960" w:type="dxa"/>
                  <w:tcBorders>
                    <w:top w:val="nil"/>
                    <w:left w:val="single" w:sz="8" w:space="0" w:color="auto"/>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National Security </w:t>
                  </w:r>
                  <w:r w:rsidR="00F14AA2" w:rsidRPr="006A67FD">
                    <w:rPr>
                      <w:rFonts w:ascii="Cambria" w:eastAsia="Times New Roman" w:hAnsi="Cambria" w:cs="Times New Roman"/>
                      <w:color w:val="000080"/>
                      <w:sz w:val="18"/>
                      <w:szCs w:val="18"/>
                    </w:rPr>
                    <w:t>Authority</w:t>
                  </w:r>
                </w:p>
              </w:tc>
              <w:tc>
                <w:tcPr>
                  <w:tcW w:w="1000" w:type="dxa"/>
                  <w:tcBorders>
                    <w:top w:val="nil"/>
                    <w:left w:val="nil"/>
                    <w:bottom w:val="nil"/>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0.22%</w:t>
                  </w:r>
                </w:p>
              </w:tc>
              <w:tc>
                <w:tcPr>
                  <w:tcW w:w="1240" w:type="dxa"/>
                  <w:tcBorders>
                    <w:top w:val="nil"/>
                    <w:left w:val="nil"/>
                    <w:bottom w:val="nil"/>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13.78%</w:t>
                  </w:r>
                </w:p>
              </w:tc>
            </w:tr>
            <w:tr w:rsidR="006A67FD" w:rsidRPr="006A67FD" w:rsidTr="006A67FD">
              <w:trPr>
                <w:trHeight w:val="270"/>
              </w:trPr>
              <w:tc>
                <w:tcPr>
                  <w:tcW w:w="1960" w:type="dxa"/>
                  <w:tcBorders>
                    <w:top w:val="single" w:sz="8" w:space="0" w:color="auto"/>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Economic  Affairs</w:t>
                  </w:r>
                </w:p>
              </w:tc>
              <w:tc>
                <w:tcPr>
                  <w:tcW w:w="3160" w:type="dxa"/>
                  <w:tcBorders>
                    <w:top w:val="single" w:sz="8" w:space="0" w:color="auto"/>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w:t>
                  </w:r>
                </w:p>
              </w:tc>
              <w:tc>
                <w:tcPr>
                  <w:tcW w:w="1000" w:type="dxa"/>
                  <w:tcBorders>
                    <w:top w:val="single" w:sz="8" w:space="0" w:color="auto"/>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27.26%</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-5.68%</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F14AA2"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First</w:t>
                  </w:r>
                  <w:r w:rsidR="006A67FD" w:rsidRPr="006A67FD">
                    <w:rPr>
                      <w:rFonts w:ascii="Cambria" w:eastAsia="Times New Roman" w:hAnsi="Cambria" w:cs="Times New Roman"/>
                      <w:color w:val="000080"/>
                      <w:sz w:val="18"/>
                      <w:szCs w:val="18"/>
                    </w:rPr>
                    <w:t xml:space="preserve">: General Economic </w:t>
                  </w:r>
                  <w:r w:rsidRPr="006A67FD">
                    <w:rPr>
                      <w:rFonts w:ascii="Cambria" w:eastAsia="Times New Roman" w:hAnsi="Cambria" w:cs="Times New Roman"/>
                      <w:color w:val="000080"/>
                      <w:sz w:val="18"/>
                      <w:szCs w:val="18"/>
                    </w:rPr>
                    <w:t>Affairs</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-13.80%</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Supreme </w:t>
                  </w:r>
                  <w:r w:rsidR="00F14AA2" w:rsidRPr="006A67FD">
                    <w:rPr>
                      <w:rFonts w:ascii="Cambria" w:eastAsia="Times New Roman" w:hAnsi="Cambria" w:cs="Times New Roman"/>
                      <w:color w:val="000080"/>
                      <w:sz w:val="18"/>
                      <w:szCs w:val="18"/>
                    </w:rPr>
                    <w:t>Council</w:t>
                  </w:r>
                  <w:r w:rsidRPr="006A67FD">
                    <w:rPr>
                      <w:rFonts w:ascii="Cambria" w:eastAsia="Times New Roman" w:hAnsi="Cambria" w:cs="Times New Roman"/>
                      <w:color w:val="000080"/>
                      <w:sz w:val="18"/>
                      <w:szCs w:val="18"/>
                    </w:rPr>
                    <w:t xml:space="preserve"> of Economic And Oil Affairs</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4.11%</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F14AA2"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Supreme</w:t>
                  </w:r>
                  <w:r w:rsidR="006A67FD" w:rsidRPr="006A67FD">
                    <w:rPr>
                      <w:rFonts w:ascii="Cambria" w:eastAsia="Times New Roman" w:hAnsi="Cambria" w:cs="Times New Roman"/>
                      <w:color w:val="000080"/>
                      <w:sz w:val="18"/>
                      <w:szCs w:val="18"/>
                    </w:rPr>
                    <w:t xml:space="preserve"> </w:t>
                  </w:r>
                  <w:r w:rsidRPr="006A67FD">
                    <w:rPr>
                      <w:rFonts w:ascii="Cambria" w:eastAsia="Times New Roman" w:hAnsi="Cambria" w:cs="Times New Roman"/>
                      <w:color w:val="000080"/>
                      <w:sz w:val="18"/>
                      <w:szCs w:val="18"/>
                    </w:rPr>
                    <w:t>Council</w:t>
                  </w:r>
                  <w:r w:rsidR="006A67FD" w:rsidRPr="006A67FD">
                    <w:rPr>
                      <w:rFonts w:ascii="Cambria" w:eastAsia="Times New Roman" w:hAnsi="Cambria" w:cs="Times New Roman"/>
                      <w:color w:val="000080"/>
                      <w:sz w:val="18"/>
                      <w:szCs w:val="18"/>
                    </w:rPr>
                    <w:t xml:space="preserve"> Of Developing Exports </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-100.00%</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Central Privatization Organization</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-14.41%</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Second: Agriculture Fishing</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0.97%</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1.07%</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Agriculture</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0.86%</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0.59%</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Fisheries</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0.11%</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4.36%</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Third: Fuel And Energy</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28.91%</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6.06%</w:t>
                  </w:r>
                </w:p>
              </w:tc>
            </w:tr>
            <w:tr w:rsidR="006A67FD" w:rsidRPr="006A67FD" w:rsidTr="006A67FD">
              <w:trPr>
                <w:trHeight w:val="75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Oil</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1.29%</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66.54%</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Petroleum Products Subsidy </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26.07%</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7.43%</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National Committee Of Atomic Energy</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r>
            <w:tr w:rsidR="006A67FD" w:rsidRPr="006A67FD" w:rsidTr="006A67FD">
              <w:trPr>
                <w:trHeight w:val="27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Electricity</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1.32%</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-68.10%</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Electricity Subsidy</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0.24%</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-100.00%</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Fourth: Industry &amp; Trade</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0.14%</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4.01%</w:t>
                  </w:r>
                </w:p>
              </w:tc>
            </w:tr>
            <w:tr w:rsidR="006A67FD" w:rsidRPr="006A67FD" w:rsidTr="006A67FD">
              <w:trPr>
                <w:trHeight w:val="27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Ministry Of Industry &amp; Trade</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0.14%</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4.01%</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Fifth: Transportation</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0.13%</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-35.11%</w:t>
                  </w:r>
                </w:p>
              </w:tc>
            </w:tr>
            <w:tr w:rsidR="006A67FD" w:rsidRPr="006A67FD" w:rsidTr="006A67FD">
              <w:trPr>
                <w:trHeight w:val="75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Ministry Of Transport</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0.13%</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-35.11%</w:t>
                  </w:r>
                </w:p>
              </w:tc>
            </w:tr>
            <w:tr w:rsidR="006A67FD" w:rsidRPr="006A67FD" w:rsidTr="006A67FD">
              <w:trPr>
                <w:trHeight w:val="75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lastRenderedPageBreak/>
                    <w:t>Sixth: Telecommunications</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0.03%</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-33.11%</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 </w:t>
                  </w:r>
                  <w:r w:rsidR="00F14AA2" w:rsidRPr="006A67FD">
                    <w:rPr>
                      <w:rFonts w:ascii="Cambria" w:eastAsia="Times New Roman" w:hAnsi="Cambria" w:cs="Times New Roman"/>
                      <w:color w:val="000080"/>
                      <w:sz w:val="18"/>
                      <w:szCs w:val="18"/>
                    </w:rPr>
                    <w:t>Ministry</w:t>
                  </w:r>
                  <w:r w:rsidRPr="006A67FD">
                    <w:rPr>
                      <w:rFonts w:ascii="Cambria" w:eastAsia="Times New Roman" w:hAnsi="Cambria" w:cs="Times New Roman"/>
                      <w:color w:val="000080"/>
                      <w:sz w:val="18"/>
                      <w:szCs w:val="18"/>
                    </w:rPr>
                    <w:t xml:space="preserve"> Of Telecommunications</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0.02%</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-38.29%</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Yemen Remote Sensing &amp; Gis</w:t>
                  </w:r>
                  <w:r w:rsidR="00F14AA2">
                    <w:rPr>
                      <w:rFonts w:ascii="Cambria" w:eastAsia="Times New Roman" w:hAnsi="Cambria" w:cs="Times New Roman"/>
                      <w:color w:val="000080"/>
                      <w:sz w:val="18"/>
                      <w:szCs w:val="18"/>
                    </w:rPr>
                    <w:t>.</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-9.94%</w:t>
                  </w:r>
                </w:p>
              </w:tc>
            </w:tr>
            <w:tr w:rsidR="006A67FD" w:rsidRPr="006A67FD" w:rsidTr="006A67FD">
              <w:trPr>
                <w:trHeight w:val="75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Seventh: Other </w:t>
                  </w:r>
                  <w:r w:rsidR="00F14AA2" w:rsidRPr="006A67FD">
                    <w:rPr>
                      <w:rFonts w:ascii="Cambria" w:eastAsia="Times New Roman" w:hAnsi="Cambria" w:cs="Times New Roman"/>
                      <w:color w:val="000080"/>
                      <w:sz w:val="18"/>
                      <w:szCs w:val="18"/>
                    </w:rPr>
                    <w:t>Manufactory</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-100.00%</w:t>
                  </w:r>
                </w:p>
              </w:tc>
            </w:tr>
            <w:tr w:rsidR="006A67FD" w:rsidRPr="006A67FD" w:rsidTr="006A67FD">
              <w:trPr>
                <w:trHeight w:val="510"/>
              </w:trPr>
              <w:tc>
                <w:tcPr>
                  <w:tcW w:w="1960" w:type="dxa"/>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Main Consumption Goods Subsidy</w:t>
                  </w:r>
                </w:p>
              </w:tc>
              <w:tc>
                <w:tcPr>
                  <w:tcW w:w="1000" w:type="dxa"/>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1240" w:type="dxa"/>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r>
            <w:tr w:rsidR="006A67FD" w:rsidRPr="006A67FD" w:rsidTr="006A67FD">
              <w:trPr>
                <w:trHeight w:val="510"/>
              </w:trPr>
              <w:tc>
                <w:tcPr>
                  <w:tcW w:w="1960" w:type="dxa"/>
                  <w:tcBorders>
                    <w:top w:val="nil"/>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60" w:type="dxa"/>
                  <w:tcBorders>
                    <w:top w:val="nil"/>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General Authority Of Tourism Development</w:t>
                  </w:r>
                </w:p>
              </w:tc>
              <w:tc>
                <w:tcPr>
                  <w:tcW w:w="1000" w:type="dxa"/>
                  <w:tcBorders>
                    <w:top w:val="nil"/>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1240" w:type="dxa"/>
                  <w:tcBorders>
                    <w:top w:val="nil"/>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-100.00%</w:t>
                  </w:r>
                </w:p>
              </w:tc>
            </w:tr>
          </w:tbl>
          <w:p w:rsidR="006A67FD" w:rsidRDefault="006A67FD" w:rsidP="006A67FD">
            <w:pPr>
              <w:spacing w:after="0" w:line="240" w:lineRule="auto"/>
              <w:rPr>
                <w:rFonts w:ascii="Cambria" w:eastAsia="Times New Roman" w:hAnsi="Cambria" w:cs="Times New Roman"/>
                <w:b/>
                <w:bCs/>
                <w:color w:val="000000"/>
                <w:sz w:val="28"/>
                <w:szCs w:val="28"/>
              </w:rPr>
            </w:pPr>
          </w:p>
          <w:tbl>
            <w:tblPr>
              <w:tblW w:w="7057" w:type="dxa"/>
              <w:tblLook w:val="04A0"/>
            </w:tblPr>
            <w:tblGrid>
              <w:gridCol w:w="1800"/>
              <w:gridCol w:w="218"/>
              <w:gridCol w:w="2422"/>
              <w:gridCol w:w="697"/>
              <w:gridCol w:w="742"/>
              <w:gridCol w:w="218"/>
              <w:gridCol w:w="742"/>
              <w:gridCol w:w="218"/>
            </w:tblGrid>
            <w:tr w:rsidR="006A67FD" w:rsidRPr="006A67FD" w:rsidTr="006A67FD">
              <w:trPr>
                <w:gridAfter w:val="1"/>
                <w:wAfter w:w="218" w:type="dxa"/>
                <w:trHeight w:val="330"/>
              </w:trPr>
              <w:tc>
                <w:tcPr>
                  <w:tcW w:w="1800" w:type="dxa"/>
                  <w:tcBorders>
                    <w:top w:val="nil"/>
                    <w:left w:val="nil"/>
                    <w:bottom w:val="nil"/>
                    <w:right w:val="nil"/>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24"/>
                      <w:szCs w:val="24"/>
                    </w:rPr>
                  </w:pPr>
                  <w:r w:rsidRPr="006A67FD">
                    <w:rPr>
                      <w:rFonts w:ascii="Cambria" w:eastAsia="Times New Roman" w:hAnsi="Cambria" w:cs="Times New Roman"/>
                      <w:b/>
                      <w:bCs/>
                      <w:color w:val="000000"/>
                      <w:sz w:val="24"/>
                      <w:szCs w:val="24"/>
                    </w:rPr>
                    <w:t>(3)</w:t>
                  </w:r>
                </w:p>
              </w:tc>
              <w:tc>
                <w:tcPr>
                  <w:tcW w:w="2640" w:type="dxa"/>
                  <w:gridSpan w:val="2"/>
                  <w:tcBorders>
                    <w:top w:val="nil"/>
                    <w:left w:val="nil"/>
                    <w:bottom w:val="nil"/>
                    <w:right w:val="nil"/>
                  </w:tcBorders>
                  <w:shd w:val="clear" w:color="auto" w:fill="auto"/>
                  <w:noWrap/>
                  <w:vAlign w:val="bottom"/>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c>
                <w:tcPr>
                  <w:tcW w:w="1439" w:type="dxa"/>
                  <w:gridSpan w:val="2"/>
                  <w:tcBorders>
                    <w:top w:val="nil"/>
                    <w:left w:val="nil"/>
                    <w:bottom w:val="nil"/>
                    <w:right w:val="nil"/>
                  </w:tcBorders>
                  <w:shd w:val="clear" w:color="auto" w:fill="auto"/>
                  <w:noWrap/>
                  <w:vAlign w:val="bottom"/>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c>
                <w:tcPr>
                  <w:tcW w:w="960" w:type="dxa"/>
                  <w:gridSpan w:val="2"/>
                  <w:tcBorders>
                    <w:top w:val="nil"/>
                    <w:left w:val="nil"/>
                    <w:bottom w:val="nil"/>
                    <w:right w:val="nil"/>
                  </w:tcBorders>
                  <w:shd w:val="clear" w:color="auto" w:fill="auto"/>
                  <w:noWrap/>
                  <w:vAlign w:val="bottom"/>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r>
            <w:tr w:rsidR="006A67FD" w:rsidRPr="006A67FD" w:rsidTr="006A67FD">
              <w:trPr>
                <w:trHeight w:val="510"/>
              </w:trPr>
              <w:tc>
                <w:tcPr>
                  <w:tcW w:w="2018" w:type="dxa"/>
                  <w:gridSpan w:val="2"/>
                  <w:tcBorders>
                    <w:top w:val="double" w:sz="6" w:space="0" w:color="auto"/>
                    <w:left w:val="double" w:sz="6" w:space="0" w:color="auto"/>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Function</w:t>
                  </w:r>
                </w:p>
              </w:tc>
              <w:tc>
                <w:tcPr>
                  <w:tcW w:w="3119" w:type="dxa"/>
                  <w:gridSpan w:val="2"/>
                  <w:tcBorders>
                    <w:top w:val="double" w:sz="6" w:space="0" w:color="auto"/>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Government Units</w:t>
                  </w:r>
                </w:p>
              </w:tc>
              <w:tc>
                <w:tcPr>
                  <w:tcW w:w="960" w:type="dxa"/>
                  <w:gridSpan w:val="2"/>
                  <w:tcBorders>
                    <w:top w:val="double" w:sz="6" w:space="0" w:color="auto"/>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Average share</w:t>
                  </w:r>
                </w:p>
              </w:tc>
              <w:tc>
                <w:tcPr>
                  <w:tcW w:w="960" w:type="dxa"/>
                  <w:gridSpan w:val="2"/>
                  <w:tcBorders>
                    <w:top w:val="double" w:sz="6" w:space="0" w:color="auto"/>
                    <w:left w:val="nil"/>
                    <w:bottom w:val="nil"/>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Growth</w:t>
                  </w:r>
                </w:p>
              </w:tc>
            </w:tr>
            <w:tr w:rsidR="006A67FD" w:rsidRPr="006A67FD" w:rsidTr="006A67FD">
              <w:trPr>
                <w:trHeight w:val="495"/>
              </w:trPr>
              <w:tc>
                <w:tcPr>
                  <w:tcW w:w="2018" w:type="dxa"/>
                  <w:gridSpan w:val="2"/>
                  <w:tcBorders>
                    <w:top w:val="single" w:sz="8" w:space="0" w:color="auto"/>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Environment  Protection</w:t>
                  </w:r>
                </w:p>
              </w:tc>
              <w:tc>
                <w:tcPr>
                  <w:tcW w:w="3119" w:type="dxa"/>
                  <w:gridSpan w:val="2"/>
                  <w:tcBorders>
                    <w:top w:val="single" w:sz="8" w:space="0" w:color="auto"/>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w:t>
                  </w:r>
                </w:p>
              </w:tc>
              <w:tc>
                <w:tcPr>
                  <w:tcW w:w="960" w:type="dxa"/>
                  <w:gridSpan w:val="2"/>
                  <w:tcBorders>
                    <w:top w:val="single" w:sz="8" w:space="0" w:color="auto"/>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1.08%</w:t>
                  </w:r>
                </w:p>
              </w:tc>
              <w:tc>
                <w:tcPr>
                  <w:tcW w:w="960" w:type="dxa"/>
                  <w:gridSpan w:val="2"/>
                  <w:tcBorders>
                    <w:top w:val="single" w:sz="8" w:space="0" w:color="auto"/>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-13.44%</w:t>
                  </w:r>
                </w:p>
              </w:tc>
            </w:tr>
            <w:tr w:rsidR="006A67FD" w:rsidRPr="006A67FD" w:rsidTr="006A67FD">
              <w:trPr>
                <w:trHeight w:val="495"/>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Ministry Of Water And Environment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1.18%</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-43.96%</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General Authority Of Environment Protection</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0.59%</w:t>
                  </w:r>
                </w:p>
              </w:tc>
            </w:tr>
            <w:tr w:rsidR="006A67FD" w:rsidRPr="006A67FD" w:rsidTr="006A67FD">
              <w:trPr>
                <w:trHeight w:val="510"/>
              </w:trPr>
              <w:tc>
                <w:tcPr>
                  <w:tcW w:w="2018" w:type="dxa"/>
                  <w:gridSpan w:val="2"/>
                  <w:tcBorders>
                    <w:top w:val="nil"/>
                    <w:left w:val="single" w:sz="8" w:space="0" w:color="auto"/>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Yemeni Authority Of Specifications &amp; Criteria</w:t>
                  </w:r>
                </w:p>
              </w:tc>
              <w:tc>
                <w:tcPr>
                  <w:tcW w:w="960" w:type="dxa"/>
                  <w:gridSpan w:val="2"/>
                  <w:tcBorders>
                    <w:top w:val="nil"/>
                    <w:left w:val="nil"/>
                    <w:bottom w:val="nil"/>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0" w:type="dxa"/>
                  <w:gridSpan w:val="2"/>
                  <w:tcBorders>
                    <w:top w:val="nil"/>
                    <w:left w:val="nil"/>
                    <w:bottom w:val="nil"/>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r>
            <w:tr w:rsidR="006A67FD" w:rsidRPr="006A67FD" w:rsidTr="006A67FD">
              <w:trPr>
                <w:trHeight w:val="510"/>
              </w:trPr>
              <w:tc>
                <w:tcPr>
                  <w:tcW w:w="2018" w:type="dxa"/>
                  <w:gridSpan w:val="2"/>
                  <w:tcBorders>
                    <w:top w:val="single" w:sz="8" w:space="0" w:color="auto"/>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Housing Affairs and Public Facilities</w:t>
                  </w:r>
                </w:p>
              </w:tc>
              <w:tc>
                <w:tcPr>
                  <w:tcW w:w="3119" w:type="dxa"/>
                  <w:gridSpan w:val="2"/>
                  <w:tcBorders>
                    <w:top w:val="single" w:sz="8" w:space="0" w:color="auto"/>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w:t>
                  </w:r>
                </w:p>
              </w:tc>
              <w:tc>
                <w:tcPr>
                  <w:tcW w:w="960" w:type="dxa"/>
                  <w:gridSpan w:val="2"/>
                  <w:tcBorders>
                    <w:top w:val="single" w:sz="8" w:space="0" w:color="auto"/>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4.11%</w:t>
                  </w:r>
                </w:p>
              </w:tc>
              <w:tc>
                <w:tcPr>
                  <w:tcW w:w="960" w:type="dxa"/>
                  <w:gridSpan w:val="2"/>
                  <w:tcBorders>
                    <w:top w:val="single" w:sz="8" w:space="0" w:color="auto"/>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-18.20%</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Ministry Of Public Works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4.67%</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-8.03%</w:t>
                  </w:r>
                </w:p>
              </w:tc>
            </w:tr>
            <w:tr w:rsidR="006A67FD" w:rsidRPr="006A67FD" w:rsidTr="006A67FD">
              <w:trPr>
                <w:trHeight w:val="27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Sana'a City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r>
            <w:tr w:rsidR="006A67FD" w:rsidRPr="006A67FD" w:rsidTr="006A67FD">
              <w:trPr>
                <w:trHeight w:val="27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Surveying Authority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r>
            <w:tr w:rsidR="006A67FD" w:rsidRPr="006A67FD" w:rsidTr="006A67FD">
              <w:trPr>
                <w:trHeight w:val="27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National </w:t>
                  </w:r>
                  <w:r w:rsidR="00F14AA2" w:rsidRPr="006A67FD">
                    <w:rPr>
                      <w:rFonts w:ascii="Cambria" w:eastAsia="Times New Roman" w:hAnsi="Cambria" w:cs="Times New Roman"/>
                      <w:color w:val="000080"/>
                      <w:sz w:val="18"/>
                      <w:szCs w:val="18"/>
                    </w:rPr>
                    <w:t>Council</w:t>
                  </w:r>
                  <w:r w:rsidRPr="006A67FD">
                    <w:rPr>
                      <w:rFonts w:ascii="Cambria" w:eastAsia="Times New Roman" w:hAnsi="Cambria" w:cs="Times New Roman"/>
                      <w:color w:val="000080"/>
                      <w:sz w:val="18"/>
                      <w:szCs w:val="18"/>
                    </w:rPr>
                    <w:t xml:space="preserve"> Population</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-25.60%</w:t>
                  </w:r>
                </w:p>
              </w:tc>
            </w:tr>
            <w:tr w:rsidR="006A67FD" w:rsidRPr="006A67FD" w:rsidTr="006A67FD">
              <w:trPr>
                <w:trHeight w:val="510"/>
              </w:trPr>
              <w:tc>
                <w:tcPr>
                  <w:tcW w:w="2018" w:type="dxa"/>
                  <w:gridSpan w:val="2"/>
                  <w:tcBorders>
                    <w:top w:val="nil"/>
                    <w:left w:val="single" w:sz="8" w:space="0" w:color="auto"/>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General Authority Of Water Resources</w:t>
                  </w:r>
                </w:p>
              </w:tc>
              <w:tc>
                <w:tcPr>
                  <w:tcW w:w="960" w:type="dxa"/>
                  <w:gridSpan w:val="2"/>
                  <w:tcBorders>
                    <w:top w:val="nil"/>
                    <w:left w:val="nil"/>
                    <w:bottom w:val="nil"/>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0.02%</w:t>
                  </w:r>
                </w:p>
              </w:tc>
              <w:tc>
                <w:tcPr>
                  <w:tcW w:w="960" w:type="dxa"/>
                  <w:gridSpan w:val="2"/>
                  <w:tcBorders>
                    <w:top w:val="nil"/>
                    <w:left w:val="nil"/>
                    <w:bottom w:val="nil"/>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-18.75%</w:t>
                  </w:r>
                </w:p>
              </w:tc>
            </w:tr>
            <w:tr w:rsidR="006A67FD" w:rsidRPr="006A67FD" w:rsidTr="006A67FD">
              <w:trPr>
                <w:trHeight w:val="270"/>
              </w:trPr>
              <w:tc>
                <w:tcPr>
                  <w:tcW w:w="2018" w:type="dxa"/>
                  <w:gridSpan w:val="2"/>
                  <w:tcBorders>
                    <w:top w:val="single" w:sz="8" w:space="0" w:color="auto"/>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Health</w:t>
                  </w:r>
                </w:p>
              </w:tc>
              <w:tc>
                <w:tcPr>
                  <w:tcW w:w="3119" w:type="dxa"/>
                  <w:gridSpan w:val="2"/>
                  <w:tcBorders>
                    <w:top w:val="single" w:sz="8" w:space="0" w:color="auto"/>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w:t>
                  </w:r>
                </w:p>
              </w:tc>
              <w:tc>
                <w:tcPr>
                  <w:tcW w:w="960" w:type="dxa"/>
                  <w:gridSpan w:val="2"/>
                  <w:tcBorders>
                    <w:top w:val="single" w:sz="8" w:space="0" w:color="auto"/>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3.74%</w:t>
                  </w:r>
                </w:p>
              </w:tc>
              <w:tc>
                <w:tcPr>
                  <w:tcW w:w="960" w:type="dxa"/>
                  <w:gridSpan w:val="2"/>
                  <w:tcBorders>
                    <w:top w:val="single" w:sz="8" w:space="0" w:color="auto"/>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15.44%</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Health</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3.37%</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7.53%</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Kuwait Medical Hospital</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0.06%</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-3.45%</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Abroad Medical Subsidies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0.06%</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-100.00%</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Supreme Authority </w:t>
                  </w:r>
                  <w:r w:rsidR="00F14AA2">
                    <w:rPr>
                      <w:rFonts w:ascii="Cambria" w:eastAsia="Times New Roman" w:hAnsi="Cambria" w:cs="Times New Roman"/>
                      <w:color w:val="000080"/>
                      <w:sz w:val="18"/>
                      <w:szCs w:val="18"/>
                    </w:rPr>
                    <w:t>Of Drugs And Medical Supplies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High Council Of </w:t>
                  </w:r>
                  <w:r w:rsidR="00F14AA2" w:rsidRPr="006A67FD">
                    <w:rPr>
                      <w:rFonts w:ascii="Cambria" w:eastAsia="Times New Roman" w:hAnsi="Cambria" w:cs="Times New Roman"/>
                      <w:color w:val="000080"/>
                      <w:sz w:val="18"/>
                      <w:szCs w:val="18"/>
                    </w:rPr>
                    <w:t>Maternal</w:t>
                  </w:r>
                  <w:r w:rsidRPr="006A67FD">
                    <w:rPr>
                      <w:rFonts w:ascii="Cambria" w:eastAsia="Times New Roman" w:hAnsi="Cambria" w:cs="Times New Roman"/>
                      <w:color w:val="000080"/>
                      <w:sz w:val="18"/>
                      <w:szCs w:val="18"/>
                    </w:rPr>
                    <w:t xml:space="preserve"> And Infants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10.35%</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lastRenderedPageBreak/>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National Centre For Blood And its Research</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-9.25%</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National Centre For General Health Laboratories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0.03%</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3.13%</w:t>
                  </w:r>
                </w:p>
              </w:tc>
            </w:tr>
            <w:tr w:rsidR="006A67FD" w:rsidRPr="006A67FD" w:rsidTr="006A67FD">
              <w:trPr>
                <w:trHeight w:val="510"/>
              </w:trPr>
              <w:tc>
                <w:tcPr>
                  <w:tcW w:w="2018" w:type="dxa"/>
                  <w:gridSpan w:val="2"/>
                  <w:tcBorders>
                    <w:top w:val="nil"/>
                    <w:left w:val="single" w:sz="8" w:space="0" w:color="auto"/>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National Oncology Centre </w:t>
                  </w:r>
                </w:p>
              </w:tc>
              <w:tc>
                <w:tcPr>
                  <w:tcW w:w="960" w:type="dxa"/>
                  <w:gridSpan w:val="2"/>
                  <w:tcBorders>
                    <w:top w:val="nil"/>
                    <w:left w:val="nil"/>
                    <w:bottom w:val="nil"/>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0.06%</w:t>
                  </w:r>
                </w:p>
              </w:tc>
              <w:tc>
                <w:tcPr>
                  <w:tcW w:w="960" w:type="dxa"/>
                  <w:gridSpan w:val="2"/>
                  <w:tcBorders>
                    <w:top w:val="nil"/>
                    <w:left w:val="nil"/>
                    <w:bottom w:val="nil"/>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14.24%</w:t>
                  </w:r>
                </w:p>
              </w:tc>
            </w:tr>
            <w:tr w:rsidR="006A67FD" w:rsidRPr="006A67FD" w:rsidTr="006A67FD">
              <w:trPr>
                <w:trHeight w:val="750"/>
              </w:trPr>
              <w:tc>
                <w:tcPr>
                  <w:tcW w:w="2018" w:type="dxa"/>
                  <w:gridSpan w:val="2"/>
                  <w:tcBorders>
                    <w:top w:val="single" w:sz="8" w:space="0" w:color="auto"/>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xml:space="preserve">Entertainment ,Cultural &amp; Religious </w:t>
                  </w:r>
                </w:p>
              </w:tc>
              <w:tc>
                <w:tcPr>
                  <w:tcW w:w="3119" w:type="dxa"/>
                  <w:gridSpan w:val="2"/>
                  <w:tcBorders>
                    <w:top w:val="single" w:sz="8" w:space="0" w:color="auto"/>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w:t>
                  </w:r>
                </w:p>
              </w:tc>
              <w:tc>
                <w:tcPr>
                  <w:tcW w:w="960" w:type="dxa"/>
                  <w:gridSpan w:val="2"/>
                  <w:tcBorders>
                    <w:top w:val="single" w:sz="8" w:space="0" w:color="auto"/>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1.14%</w:t>
                  </w:r>
                </w:p>
              </w:tc>
              <w:tc>
                <w:tcPr>
                  <w:tcW w:w="960" w:type="dxa"/>
                  <w:gridSpan w:val="2"/>
                  <w:tcBorders>
                    <w:top w:val="single" w:sz="8" w:space="0" w:color="auto"/>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11.91%</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Youth And Sports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0.21%</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-11.37%</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General Authority Of Maintaining Historical Cities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-0.88%</w:t>
                  </w:r>
                </w:p>
              </w:tc>
            </w:tr>
            <w:tr w:rsidR="006A67FD" w:rsidRPr="006A67FD" w:rsidTr="006A67FD">
              <w:trPr>
                <w:trHeight w:val="27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Culture</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0.08%</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4.68%</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General Authority Of Books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0.02%</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0.31%</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Tourism</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0.04%</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10.44%</w:t>
                  </w:r>
                </w:p>
              </w:tc>
            </w:tr>
            <w:tr w:rsidR="006A67FD" w:rsidRPr="006A67FD" w:rsidTr="006A67FD">
              <w:trPr>
                <w:trHeight w:val="27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Information</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0.63%</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-1.40%</w:t>
                  </w:r>
                </w:p>
              </w:tc>
            </w:tr>
            <w:tr w:rsidR="006A67FD" w:rsidRPr="006A67FD" w:rsidTr="006A67FD">
              <w:trPr>
                <w:trHeight w:val="51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Information Documentation Centre</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3.25%</w:t>
                  </w:r>
                </w:p>
              </w:tc>
            </w:tr>
            <w:tr w:rsidR="006A67FD" w:rsidRPr="006A67FD" w:rsidTr="006A67FD">
              <w:trPr>
                <w:trHeight w:val="75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Direction And Guidelines  Sector In Ministry Of Endowment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0.07%</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10.44%</w:t>
                  </w:r>
                </w:p>
              </w:tc>
            </w:tr>
            <w:tr w:rsidR="006A67FD" w:rsidRPr="006A67FD" w:rsidTr="006A67FD">
              <w:trPr>
                <w:trHeight w:val="750"/>
              </w:trPr>
              <w:tc>
                <w:tcPr>
                  <w:tcW w:w="2018" w:type="dxa"/>
                  <w:gridSpan w:val="2"/>
                  <w:tcBorders>
                    <w:top w:val="nil"/>
                    <w:left w:val="single" w:sz="8"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General Authority Of Manuscripts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0.03%</w:t>
                  </w:r>
                </w:p>
              </w:tc>
              <w:tc>
                <w:tcPr>
                  <w:tcW w:w="960" w:type="dxa"/>
                  <w:gridSpan w:val="2"/>
                  <w:tcBorders>
                    <w:top w:val="nil"/>
                    <w:left w:val="nil"/>
                    <w:bottom w:val="double" w:sz="6"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2.20%</w:t>
                  </w:r>
                </w:p>
              </w:tc>
            </w:tr>
            <w:tr w:rsidR="006A67FD" w:rsidRPr="006A67FD" w:rsidTr="006A67FD">
              <w:trPr>
                <w:trHeight w:val="510"/>
              </w:trPr>
              <w:tc>
                <w:tcPr>
                  <w:tcW w:w="2018" w:type="dxa"/>
                  <w:gridSpan w:val="2"/>
                  <w:tcBorders>
                    <w:top w:val="nil"/>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19" w:type="dxa"/>
                  <w:gridSpan w:val="2"/>
                  <w:tcBorders>
                    <w:top w:val="nil"/>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National Museum For Science</w:t>
                  </w:r>
                </w:p>
              </w:tc>
              <w:tc>
                <w:tcPr>
                  <w:tcW w:w="960" w:type="dxa"/>
                  <w:gridSpan w:val="2"/>
                  <w:tcBorders>
                    <w:top w:val="nil"/>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0" w:type="dxa"/>
                  <w:gridSpan w:val="2"/>
                  <w:tcBorders>
                    <w:top w:val="nil"/>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-65.83%</w:t>
                  </w:r>
                </w:p>
              </w:tc>
            </w:tr>
          </w:tbl>
          <w:p w:rsidR="006A67FD" w:rsidRDefault="006A67FD" w:rsidP="006A67FD">
            <w:pPr>
              <w:spacing w:after="0" w:line="240" w:lineRule="auto"/>
              <w:rPr>
                <w:rFonts w:ascii="Cambria" w:eastAsia="Times New Roman" w:hAnsi="Cambria" w:cs="Times New Roman"/>
                <w:b/>
                <w:bCs/>
                <w:color w:val="000000"/>
                <w:sz w:val="28"/>
                <w:szCs w:val="28"/>
              </w:rPr>
            </w:pPr>
          </w:p>
          <w:tbl>
            <w:tblPr>
              <w:tblW w:w="7120" w:type="dxa"/>
              <w:tblLook w:val="04A0"/>
            </w:tblPr>
            <w:tblGrid>
              <w:gridCol w:w="1773"/>
              <w:gridCol w:w="245"/>
              <w:gridCol w:w="2215"/>
              <w:gridCol w:w="960"/>
              <w:gridCol w:w="715"/>
              <w:gridCol w:w="245"/>
              <w:gridCol w:w="722"/>
              <w:gridCol w:w="245"/>
            </w:tblGrid>
            <w:tr w:rsidR="006A67FD" w:rsidRPr="006A67FD" w:rsidTr="006A67FD">
              <w:trPr>
                <w:gridAfter w:val="1"/>
                <w:wAfter w:w="245" w:type="dxa"/>
                <w:trHeight w:val="330"/>
              </w:trPr>
              <w:tc>
                <w:tcPr>
                  <w:tcW w:w="1773" w:type="dxa"/>
                  <w:tcBorders>
                    <w:top w:val="nil"/>
                    <w:left w:val="nil"/>
                    <w:bottom w:val="nil"/>
                    <w:right w:val="nil"/>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24"/>
                      <w:szCs w:val="24"/>
                    </w:rPr>
                  </w:pPr>
                  <w:r w:rsidRPr="006A67FD">
                    <w:rPr>
                      <w:rFonts w:ascii="Cambria" w:eastAsia="Times New Roman" w:hAnsi="Cambria" w:cs="Times New Roman"/>
                      <w:b/>
                      <w:bCs/>
                      <w:color w:val="000000"/>
                      <w:sz w:val="24"/>
                      <w:szCs w:val="24"/>
                    </w:rPr>
                    <w:t>(4)</w:t>
                  </w:r>
                </w:p>
              </w:tc>
              <w:tc>
                <w:tcPr>
                  <w:tcW w:w="2460" w:type="dxa"/>
                  <w:gridSpan w:val="2"/>
                  <w:tcBorders>
                    <w:top w:val="nil"/>
                    <w:left w:val="nil"/>
                    <w:bottom w:val="nil"/>
                    <w:right w:val="nil"/>
                  </w:tcBorders>
                  <w:shd w:val="clear" w:color="auto" w:fill="auto"/>
                  <w:noWrap/>
                  <w:vAlign w:val="bottom"/>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c>
                <w:tcPr>
                  <w:tcW w:w="1675" w:type="dxa"/>
                  <w:gridSpan w:val="2"/>
                  <w:tcBorders>
                    <w:top w:val="nil"/>
                    <w:left w:val="nil"/>
                    <w:bottom w:val="nil"/>
                    <w:right w:val="nil"/>
                  </w:tcBorders>
                  <w:shd w:val="clear" w:color="auto" w:fill="auto"/>
                  <w:noWrap/>
                  <w:vAlign w:val="bottom"/>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c>
                <w:tcPr>
                  <w:tcW w:w="967" w:type="dxa"/>
                  <w:gridSpan w:val="2"/>
                  <w:tcBorders>
                    <w:top w:val="nil"/>
                    <w:left w:val="nil"/>
                    <w:bottom w:val="nil"/>
                    <w:right w:val="nil"/>
                  </w:tcBorders>
                  <w:shd w:val="clear" w:color="auto" w:fill="auto"/>
                  <w:noWrap/>
                  <w:vAlign w:val="bottom"/>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p>
              </w:tc>
            </w:tr>
            <w:tr w:rsidR="006A67FD" w:rsidRPr="006A67FD" w:rsidTr="006A67FD">
              <w:trPr>
                <w:trHeight w:val="510"/>
              </w:trPr>
              <w:tc>
                <w:tcPr>
                  <w:tcW w:w="2018" w:type="dxa"/>
                  <w:gridSpan w:val="2"/>
                  <w:tcBorders>
                    <w:top w:val="double" w:sz="6" w:space="0" w:color="auto"/>
                    <w:left w:val="double" w:sz="6" w:space="0" w:color="auto"/>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Function</w:t>
                  </w:r>
                </w:p>
              </w:tc>
              <w:tc>
                <w:tcPr>
                  <w:tcW w:w="3175" w:type="dxa"/>
                  <w:gridSpan w:val="2"/>
                  <w:tcBorders>
                    <w:top w:val="double" w:sz="6" w:space="0" w:color="auto"/>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Government Units</w:t>
                  </w:r>
                </w:p>
              </w:tc>
              <w:tc>
                <w:tcPr>
                  <w:tcW w:w="960" w:type="dxa"/>
                  <w:gridSpan w:val="2"/>
                  <w:tcBorders>
                    <w:top w:val="double" w:sz="6" w:space="0" w:color="auto"/>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Average share</w:t>
                  </w:r>
                </w:p>
              </w:tc>
              <w:tc>
                <w:tcPr>
                  <w:tcW w:w="967" w:type="dxa"/>
                  <w:gridSpan w:val="2"/>
                  <w:tcBorders>
                    <w:top w:val="double" w:sz="6" w:space="0" w:color="auto"/>
                    <w:left w:val="nil"/>
                    <w:bottom w:val="nil"/>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Growth</w:t>
                  </w:r>
                </w:p>
              </w:tc>
            </w:tr>
            <w:tr w:rsidR="006A67FD" w:rsidRPr="006A67FD" w:rsidTr="006A67FD">
              <w:trPr>
                <w:trHeight w:val="495"/>
              </w:trPr>
              <w:tc>
                <w:tcPr>
                  <w:tcW w:w="2018" w:type="dxa"/>
                  <w:gridSpan w:val="2"/>
                  <w:tcBorders>
                    <w:top w:val="single" w:sz="8" w:space="0" w:color="auto"/>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Education</w:t>
                  </w:r>
                </w:p>
              </w:tc>
              <w:tc>
                <w:tcPr>
                  <w:tcW w:w="3175" w:type="dxa"/>
                  <w:gridSpan w:val="2"/>
                  <w:tcBorders>
                    <w:top w:val="single" w:sz="8" w:space="0" w:color="auto"/>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w:t>
                  </w:r>
                </w:p>
              </w:tc>
              <w:tc>
                <w:tcPr>
                  <w:tcW w:w="960" w:type="dxa"/>
                  <w:gridSpan w:val="2"/>
                  <w:tcBorders>
                    <w:top w:val="single" w:sz="8" w:space="0" w:color="auto"/>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14.86%</w:t>
                  </w:r>
                </w:p>
              </w:tc>
              <w:tc>
                <w:tcPr>
                  <w:tcW w:w="967" w:type="dxa"/>
                  <w:gridSpan w:val="2"/>
                  <w:tcBorders>
                    <w:top w:val="single" w:sz="8" w:space="0" w:color="auto"/>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10.55%</w:t>
                  </w:r>
                </w:p>
              </w:tc>
            </w:tr>
            <w:tr w:rsidR="006A67FD" w:rsidRPr="006A67FD" w:rsidTr="006A67FD">
              <w:trPr>
                <w:trHeight w:val="495"/>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Education</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11.79%</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9.15%</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Higher Education</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0.56%</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2.76%</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Sana'a University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0.49%</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0.43%</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Aden University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0.39%</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4.95%</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Taiz University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0.19%</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0.35%</w:t>
                  </w:r>
                </w:p>
              </w:tc>
            </w:tr>
            <w:tr w:rsidR="006A67FD" w:rsidRPr="006A67FD" w:rsidTr="006A67FD">
              <w:trPr>
                <w:trHeight w:val="27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Hadramout University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0.15%</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4.80%</w:t>
                  </w:r>
                </w:p>
              </w:tc>
            </w:tr>
            <w:tr w:rsidR="006A67FD" w:rsidRPr="006A67FD" w:rsidTr="006A67FD">
              <w:trPr>
                <w:trHeight w:val="27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Ibb University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0.11%</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4.48%</w:t>
                  </w:r>
                </w:p>
              </w:tc>
            </w:tr>
            <w:tr w:rsidR="006A67FD" w:rsidRPr="006A67FD" w:rsidTr="006A67FD">
              <w:trPr>
                <w:trHeight w:val="27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lastRenderedPageBreak/>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Al-Hudaidah University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0.15%</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-3.23%</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Dhamar University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0.17%</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5.68%</w:t>
                  </w:r>
                </w:p>
              </w:tc>
            </w:tr>
            <w:tr w:rsidR="006A67FD" w:rsidRPr="006A67FD" w:rsidTr="006A67FD">
              <w:trPr>
                <w:trHeight w:val="27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Amran University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0.05%</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85.54%</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Al-Baidha University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6.25%</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Hajah University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High Institute For Medical Sciences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0.03%</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9.94%</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Ameen Nasher Institute For Medical Sciences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0.02%</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10.84%</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High Institute Of Physical Education &amp; Athletics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-100.00%</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Sana'a Community College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0.02%</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-6.03%</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Aden Community College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3.48%</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Abbis Community College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-2.20%</w:t>
                  </w:r>
                </w:p>
              </w:tc>
            </w:tr>
            <w:tr w:rsidR="006A67FD" w:rsidRPr="006A67FD" w:rsidTr="006A67FD">
              <w:trPr>
                <w:trHeight w:val="75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Sayoun Community College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-9.64%</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Sanhan Community College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30.50%</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Yarrem Community College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48.67%</w:t>
                  </w:r>
                </w:p>
              </w:tc>
            </w:tr>
            <w:tr w:rsidR="006A67FD" w:rsidRPr="006A67FD" w:rsidTr="006A67FD">
              <w:trPr>
                <w:trHeight w:val="27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Amran Community College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-30.77%</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Al-Mafer Community College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-44.44%</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Al-Khbt Community College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-54.35%</w:t>
                  </w:r>
                </w:p>
              </w:tc>
            </w:tr>
            <w:tr w:rsidR="006A67FD" w:rsidRPr="006A67FD" w:rsidTr="006A67FD">
              <w:trPr>
                <w:trHeight w:val="27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Al Lohaih Community College</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Gernal Corporation Community College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r>
            <w:tr w:rsidR="006A67FD" w:rsidRPr="006A67FD" w:rsidTr="006A67FD">
              <w:trPr>
                <w:trHeight w:val="75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High Institute Of Guidance</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1.07%</w:t>
                  </w:r>
                </w:p>
              </w:tc>
            </w:tr>
            <w:tr w:rsidR="006A67FD" w:rsidRPr="006A67FD" w:rsidTr="006A67FD">
              <w:trPr>
                <w:trHeight w:val="75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Technical Education And Vocational Training</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0.60%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-10.29%</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Illetracy And Adult Teaching Organisation</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0.02%</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6.22%</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Educational Development And Researches Centre</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6.25%</w:t>
                  </w:r>
                </w:p>
              </w:tc>
            </w:tr>
            <w:tr w:rsidR="006A67FD" w:rsidRPr="006A67FD" w:rsidTr="006A67FD">
              <w:trPr>
                <w:trHeight w:val="75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lastRenderedPageBreak/>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Yemeni National Committee For Education, Culture And Science</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0.01%</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-2.63%</w:t>
                  </w:r>
                </w:p>
              </w:tc>
            </w:tr>
            <w:tr w:rsidR="006A67FD" w:rsidRPr="006A67FD" w:rsidTr="006A67FD">
              <w:trPr>
                <w:trHeight w:val="510"/>
              </w:trPr>
              <w:tc>
                <w:tcPr>
                  <w:tcW w:w="2018" w:type="dxa"/>
                  <w:gridSpan w:val="2"/>
                  <w:tcBorders>
                    <w:top w:val="nil"/>
                    <w:left w:val="double" w:sz="6" w:space="0" w:color="auto"/>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nil"/>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Media Training Institute</w:t>
                  </w:r>
                </w:p>
              </w:tc>
              <w:tc>
                <w:tcPr>
                  <w:tcW w:w="960" w:type="dxa"/>
                  <w:gridSpan w:val="2"/>
                  <w:tcBorders>
                    <w:top w:val="nil"/>
                    <w:left w:val="nil"/>
                    <w:bottom w:val="nil"/>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nil"/>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4.74%</w:t>
                  </w:r>
                </w:p>
              </w:tc>
            </w:tr>
            <w:tr w:rsidR="006A67FD" w:rsidRPr="006A67FD" w:rsidTr="006A67FD">
              <w:trPr>
                <w:trHeight w:val="510"/>
              </w:trPr>
              <w:tc>
                <w:tcPr>
                  <w:tcW w:w="2018" w:type="dxa"/>
                  <w:gridSpan w:val="2"/>
                  <w:tcBorders>
                    <w:top w:val="single" w:sz="8" w:space="0" w:color="auto"/>
                    <w:left w:val="single" w:sz="8" w:space="0" w:color="auto"/>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Social Protection</w:t>
                  </w:r>
                </w:p>
              </w:tc>
              <w:tc>
                <w:tcPr>
                  <w:tcW w:w="3175" w:type="dxa"/>
                  <w:gridSpan w:val="2"/>
                  <w:tcBorders>
                    <w:top w:val="single" w:sz="8" w:space="0" w:color="auto"/>
                    <w:left w:val="nil"/>
                    <w:bottom w:val="single" w:sz="8"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 </w:t>
                  </w:r>
                </w:p>
              </w:tc>
              <w:tc>
                <w:tcPr>
                  <w:tcW w:w="960" w:type="dxa"/>
                  <w:gridSpan w:val="2"/>
                  <w:tcBorders>
                    <w:top w:val="single" w:sz="8" w:space="0" w:color="auto"/>
                    <w:left w:val="nil"/>
                    <w:bottom w:val="single" w:sz="8"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4.66%</w:t>
                  </w:r>
                </w:p>
              </w:tc>
              <w:tc>
                <w:tcPr>
                  <w:tcW w:w="967" w:type="dxa"/>
                  <w:gridSpan w:val="2"/>
                  <w:tcBorders>
                    <w:top w:val="single" w:sz="8" w:space="0" w:color="auto"/>
                    <w:left w:val="nil"/>
                    <w:bottom w:val="single" w:sz="8" w:space="0" w:color="auto"/>
                    <w:right w:val="single" w:sz="8"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b/>
                      <w:bCs/>
                      <w:color w:val="000000"/>
                      <w:sz w:val="18"/>
                      <w:szCs w:val="18"/>
                    </w:rPr>
                  </w:pPr>
                  <w:r w:rsidRPr="006A67FD">
                    <w:rPr>
                      <w:rFonts w:ascii="Cambria" w:eastAsia="Times New Roman" w:hAnsi="Cambria" w:cs="Times New Roman"/>
                      <w:b/>
                      <w:bCs/>
                      <w:color w:val="000000"/>
                      <w:sz w:val="18"/>
                      <w:szCs w:val="18"/>
                    </w:rPr>
                    <w:t>163.77%</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Ministry Of Social Affairs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1.44%</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122.93%</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General Authority Of Revolution Strugglers</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0.07%</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17.09%</w:t>
                  </w:r>
                </w:p>
              </w:tc>
            </w:tr>
            <w:tr w:rsidR="006A67FD" w:rsidRPr="006A67FD" w:rsidTr="006A67FD">
              <w:trPr>
                <w:trHeight w:val="51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 xml:space="preserve">Yemeni Centre Of Social Studies </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0.00%</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-15.91%</w:t>
                  </w:r>
                </w:p>
              </w:tc>
            </w:tr>
            <w:tr w:rsidR="006A67FD" w:rsidRPr="006A67FD" w:rsidTr="006A67FD">
              <w:trPr>
                <w:trHeight w:val="270"/>
              </w:trPr>
              <w:tc>
                <w:tcPr>
                  <w:tcW w:w="2018" w:type="dxa"/>
                  <w:gridSpan w:val="2"/>
                  <w:tcBorders>
                    <w:top w:val="nil"/>
                    <w:left w:val="double" w:sz="6" w:space="0" w:color="auto"/>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 </w:t>
                  </w:r>
                </w:p>
              </w:tc>
              <w:tc>
                <w:tcPr>
                  <w:tcW w:w="3175" w:type="dxa"/>
                  <w:gridSpan w:val="2"/>
                  <w:tcBorders>
                    <w:top w:val="nil"/>
                    <w:left w:val="nil"/>
                    <w:bottom w:val="double" w:sz="6" w:space="0" w:color="auto"/>
                    <w:right w:val="double" w:sz="6" w:space="0" w:color="auto"/>
                  </w:tcBorders>
                  <w:shd w:val="clear" w:color="auto" w:fill="auto"/>
                  <w:vAlign w:val="center"/>
                  <w:hideMark/>
                </w:tcPr>
                <w:p w:rsidR="006A67FD" w:rsidRPr="006A67FD" w:rsidRDefault="006A67FD" w:rsidP="006A67FD">
                  <w:pPr>
                    <w:framePr w:hSpace="180" w:wrap="around" w:hAnchor="page" w:x="251" w:y="-1052"/>
                    <w:spacing w:after="0" w:line="240" w:lineRule="auto"/>
                    <w:rPr>
                      <w:rFonts w:ascii="Cambria" w:eastAsia="Times New Roman" w:hAnsi="Cambria" w:cs="Times New Roman"/>
                      <w:color w:val="000080"/>
                      <w:sz w:val="18"/>
                      <w:szCs w:val="18"/>
                    </w:rPr>
                  </w:pPr>
                  <w:r w:rsidRPr="006A67FD">
                    <w:rPr>
                      <w:rFonts w:ascii="Cambria" w:eastAsia="Times New Roman" w:hAnsi="Cambria" w:cs="Times New Roman"/>
                      <w:color w:val="000080"/>
                      <w:sz w:val="18"/>
                      <w:szCs w:val="18"/>
                    </w:rPr>
                    <w:t>Tribal Affairs Authority</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0.09%</w:t>
                  </w:r>
                </w:p>
              </w:tc>
              <w:tc>
                <w:tcPr>
                  <w:tcW w:w="967" w:type="dxa"/>
                  <w:gridSpan w:val="2"/>
                  <w:tcBorders>
                    <w:top w:val="nil"/>
                    <w:left w:val="nil"/>
                    <w:bottom w:val="double" w:sz="6" w:space="0" w:color="auto"/>
                    <w:right w:val="double" w:sz="6" w:space="0" w:color="auto"/>
                  </w:tcBorders>
                  <w:shd w:val="clear" w:color="auto" w:fill="auto"/>
                  <w:noWrap/>
                  <w:vAlign w:val="center"/>
                  <w:hideMark/>
                </w:tcPr>
                <w:p w:rsidR="006A67FD" w:rsidRPr="006A67FD" w:rsidRDefault="006A67FD" w:rsidP="006A67FD">
                  <w:pPr>
                    <w:framePr w:hSpace="180" w:wrap="around" w:hAnchor="page" w:x="251" w:y="-1052"/>
                    <w:spacing w:after="0" w:line="240" w:lineRule="auto"/>
                    <w:jc w:val="center"/>
                    <w:rPr>
                      <w:rFonts w:ascii="Cambria" w:eastAsia="Times New Roman" w:hAnsi="Cambria" w:cs="Times New Roman"/>
                      <w:color w:val="000000"/>
                      <w:sz w:val="18"/>
                      <w:szCs w:val="18"/>
                    </w:rPr>
                  </w:pPr>
                  <w:r w:rsidRPr="006A67FD">
                    <w:rPr>
                      <w:rFonts w:ascii="Cambria" w:eastAsia="Times New Roman" w:hAnsi="Cambria" w:cs="Times New Roman"/>
                      <w:color w:val="000000"/>
                      <w:sz w:val="18"/>
                      <w:szCs w:val="18"/>
                    </w:rPr>
                    <w:t>20.18%</w:t>
                  </w:r>
                </w:p>
              </w:tc>
            </w:tr>
          </w:tbl>
          <w:p w:rsidR="006A67FD" w:rsidRDefault="006A67FD" w:rsidP="006A67FD">
            <w:pPr>
              <w:spacing w:after="0" w:line="240" w:lineRule="auto"/>
              <w:rPr>
                <w:rFonts w:ascii="Cambria" w:eastAsia="Times New Roman" w:hAnsi="Cambria" w:cs="Times New Roman"/>
                <w:b/>
                <w:bCs/>
                <w:color w:val="000000"/>
                <w:sz w:val="28"/>
                <w:szCs w:val="28"/>
              </w:rPr>
            </w:pPr>
          </w:p>
          <w:p w:rsidR="006A67FD" w:rsidRDefault="006A67FD" w:rsidP="006A67FD">
            <w:pPr>
              <w:spacing w:after="0" w:line="240" w:lineRule="auto"/>
              <w:rPr>
                <w:rFonts w:ascii="Cambria" w:eastAsia="Times New Roman" w:hAnsi="Cambria" w:cs="Times New Roman"/>
                <w:b/>
                <w:bCs/>
                <w:color w:val="000000"/>
                <w:sz w:val="28"/>
                <w:szCs w:val="28"/>
              </w:rPr>
            </w:pPr>
          </w:p>
          <w:p w:rsidR="00116C7F" w:rsidRPr="00116C7F" w:rsidRDefault="00116C7F" w:rsidP="006A67FD">
            <w:pPr>
              <w:spacing w:after="0" w:line="240" w:lineRule="auto"/>
              <w:rPr>
                <w:rFonts w:ascii="Cambria" w:eastAsia="Times New Roman" w:hAnsi="Cambria" w:cs="Times New Roman"/>
                <w:b/>
                <w:bCs/>
                <w:color w:val="000000"/>
                <w:sz w:val="28"/>
                <w:szCs w:val="28"/>
              </w:rPr>
            </w:pPr>
            <w:r w:rsidRPr="00116C7F">
              <w:rPr>
                <w:rFonts w:ascii="Cambria" w:eastAsia="Times New Roman" w:hAnsi="Cambria" w:cs="Times New Roman"/>
                <w:b/>
                <w:bCs/>
                <w:color w:val="000000"/>
                <w:sz w:val="28"/>
                <w:szCs w:val="28"/>
              </w:rPr>
              <w:t>Total Local Tax Revenues Per Governorate</w:t>
            </w:r>
          </w:p>
        </w:tc>
      </w:tr>
      <w:tr w:rsidR="00116C7F" w:rsidRPr="00116C7F" w:rsidTr="006A67FD">
        <w:trPr>
          <w:gridAfter w:val="1"/>
          <w:wAfter w:w="817" w:type="dxa"/>
          <w:trHeight w:val="300"/>
        </w:trPr>
        <w:tc>
          <w:tcPr>
            <w:tcW w:w="6613" w:type="dxa"/>
            <w:gridSpan w:val="14"/>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4241" w:type="dxa"/>
            <w:gridSpan w:val="1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2033" w:type="dxa"/>
            <w:gridSpan w:val="6"/>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2044"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31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632"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93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842" w:type="dxa"/>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r>
      <w:tr w:rsidR="00116C7F" w:rsidRPr="00116C7F" w:rsidTr="006A67FD">
        <w:trPr>
          <w:gridBefore w:val="1"/>
          <w:gridAfter w:val="12"/>
          <w:wBefore w:w="250" w:type="dxa"/>
          <w:wAfter w:w="8605" w:type="dxa"/>
          <w:trHeight w:val="585"/>
        </w:trPr>
        <w:tc>
          <w:tcPr>
            <w:tcW w:w="1701"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Governorate</w:t>
            </w:r>
          </w:p>
        </w:tc>
        <w:tc>
          <w:tcPr>
            <w:tcW w:w="1842" w:type="dxa"/>
            <w:gridSpan w:val="3"/>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2007</w:t>
            </w:r>
          </w:p>
        </w:tc>
        <w:tc>
          <w:tcPr>
            <w:tcW w:w="1430" w:type="dxa"/>
            <w:gridSpan w:val="3"/>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2008</w:t>
            </w:r>
          </w:p>
        </w:tc>
        <w:tc>
          <w:tcPr>
            <w:tcW w:w="1448" w:type="dxa"/>
            <w:gridSpan w:val="4"/>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2009</w:t>
            </w:r>
          </w:p>
        </w:tc>
        <w:tc>
          <w:tcPr>
            <w:tcW w:w="1418" w:type="dxa"/>
            <w:gridSpan w:val="4"/>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2010</w:t>
            </w:r>
          </w:p>
        </w:tc>
        <w:tc>
          <w:tcPr>
            <w:tcW w:w="1408" w:type="dxa"/>
            <w:gridSpan w:val="3"/>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2011</w:t>
            </w:r>
          </w:p>
        </w:tc>
        <w:tc>
          <w:tcPr>
            <w:tcW w:w="1409" w:type="dxa"/>
            <w:gridSpan w:val="5"/>
            <w:tcBorders>
              <w:top w:val="single" w:sz="8" w:space="0" w:color="auto"/>
              <w:left w:val="nil"/>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2012</w:t>
            </w:r>
          </w:p>
        </w:tc>
        <w:tc>
          <w:tcPr>
            <w:tcW w:w="969" w:type="dxa"/>
            <w:gridSpan w:val="3"/>
            <w:tcBorders>
              <w:top w:val="single" w:sz="8" w:space="0" w:color="auto"/>
              <w:left w:val="single" w:sz="8" w:space="0" w:color="auto"/>
              <w:bottom w:val="single" w:sz="8" w:space="0" w:color="auto"/>
              <w:right w:val="single" w:sz="8" w:space="0" w:color="auto"/>
            </w:tcBorders>
            <w:shd w:val="clear" w:color="000000" w:fill="D8D8D8"/>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Growth Rate</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Sana'a City</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1,381,497,879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1,456,471,291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1,357,027,707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1,370,522,489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906,674,368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915,110,765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-8%</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Sana'a Governorate</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6,080,013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8,533,753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26,875,479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146,235,228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45,170,552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38,746,300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45%</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Aden</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522,536,714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605,621,481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676,526,121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682,235,978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438,597,529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604,304,142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3%</w:t>
            </w:r>
          </w:p>
        </w:tc>
      </w:tr>
      <w:tr w:rsidR="00116C7F" w:rsidRPr="00116C7F" w:rsidTr="006A67FD">
        <w:trPr>
          <w:gridBefore w:val="1"/>
          <w:gridAfter w:val="12"/>
          <w:wBefore w:w="250" w:type="dxa"/>
          <w:wAfter w:w="8605" w:type="dxa"/>
          <w:trHeight w:val="270"/>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Taiz</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582,072,018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619,980,781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670,204,056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826,333,774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759,466,333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938,555,289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10%</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Hudaidah</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847,570,723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863,725,479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878,614,576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940,805,873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742,906,495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1,059,671,349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5%</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Hadhramot</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279,918,820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290,347,398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310,113,639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377,019,407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254,576,539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242,064,598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-3%</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Ibb</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208,752,556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230,675,739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246,330,570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266,641,737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206,979,684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258,554,239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4%</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Abyan</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131,306,509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148,982,055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158,764,726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207,650,936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46,248,232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-100%</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Dhamar</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87,271,215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98,677,835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93,654,552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93,551,396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55,015,376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48,092,757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-11%</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Shabwah</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78,228,958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82,083,088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88,151,499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93,254,690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49,150,843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88,478,045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2%</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Hajjah</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183,261,658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195,292,521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172,384,303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169,183,927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178,129,870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190,585,516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1%</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AL-Baidha</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55,500,030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64,579,580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77,196,716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82,286,140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63,593,151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55,549,729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0%</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Lahj</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83,361,257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93,682,964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113,185,507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107,799,888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63,738,139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74,594,238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-2%</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Sa'adah</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32,102,193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44,134,683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35,913,443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19,763,749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19,371,470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23,002,920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-6%</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AL-Mahweet</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20,981,420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21,976,381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24,395,977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30,063,746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25,893,105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26,364,846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5%</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AL-Maharah</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41,066,262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46,071,032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58,868,057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85,851,130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94,414,009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99,359,763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19%</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Ma'arib</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43,807,163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50,242,223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40,796,150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46,589,258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29,490,399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20,166,019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-14%</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lastRenderedPageBreak/>
              <w:t>AL-Jawf</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1,829,504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1,949,548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3,297,180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4,593,169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2,226,694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2,933,375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10%</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Amran</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12,317,072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14,123,690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18,226,403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21,443,910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15,938,679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17,385,861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7%</w:t>
            </w:r>
          </w:p>
        </w:tc>
      </w:tr>
      <w:tr w:rsidR="00116C7F" w:rsidRPr="00116C7F" w:rsidTr="006A67FD">
        <w:trPr>
          <w:gridBefore w:val="1"/>
          <w:gridAfter w:val="12"/>
          <w:wBefore w:w="250" w:type="dxa"/>
          <w:wAfter w:w="8605" w:type="dxa"/>
          <w:trHeight w:val="315"/>
        </w:trPr>
        <w:tc>
          <w:tcPr>
            <w:tcW w:w="1701"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AL-Dhalia'a</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30,704,963 </w:t>
            </w:r>
          </w:p>
        </w:tc>
        <w:tc>
          <w:tcPr>
            <w:tcW w:w="1430"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25,407,979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29,859,659 </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29,745,489 </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19,965,358 </w:t>
            </w:r>
          </w:p>
        </w:tc>
        <w:tc>
          <w:tcPr>
            <w:tcW w:w="1409" w:type="dxa"/>
            <w:gridSpan w:val="5"/>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23,189,642 </w:t>
            </w:r>
          </w:p>
        </w:tc>
        <w:tc>
          <w:tcPr>
            <w:tcW w:w="969"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-5%</w:t>
            </w:r>
          </w:p>
        </w:tc>
      </w:tr>
      <w:tr w:rsidR="00116C7F" w:rsidRPr="00116C7F" w:rsidTr="006A67FD">
        <w:trPr>
          <w:gridBefore w:val="1"/>
          <w:gridAfter w:val="12"/>
          <w:wBefore w:w="250" w:type="dxa"/>
          <w:wAfter w:w="8605" w:type="dxa"/>
          <w:trHeight w:val="330"/>
        </w:trPr>
        <w:tc>
          <w:tcPr>
            <w:tcW w:w="1701" w:type="dxa"/>
            <w:gridSpan w:val="4"/>
            <w:tcBorders>
              <w:top w:val="nil"/>
              <w:left w:val="single" w:sz="8" w:space="0" w:color="auto"/>
              <w:bottom w:val="nil"/>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80"/>
                <w:sz w:val="20"/>
                <w:szCs w:val="20"/>
              </w:rPr>
            </w:pPr>
            <w:r w:rsidRPr="00116C7F">
              <w:rPr>
                <w:rFonts w:ascii="Cambria" w:eastAsia="Times New Roman" w:hAnsi="Cambria" w:cs="Times New Roman"/>
                <w:b/>
                <w:bCs/>
                <w:color w:val="000080"/>
                <w:sz w:val="20"/>
                <w:szCs w:val="20"/>
              </w:rPr>
              <w:t>Raima</w:t>
            </w:r>
          </w:p>
        </w:tc>
        <w:tc>
          <w:tcPr>
            <w:tcW w:w="1842" w:type="dxa"/>
            <w:gridSpan w:val="3"/>
            <w:tcBorders>
              <w:top w:val="nil"/>
              <w:left w:val="nil"/>
              <w:bottom w:val="nil"/>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13,990,457 </w:t>
            </w:r>
          </w:p>
        </w:tc>
        <w:tc>
          <w:tcPr>
            <w:tcW w:w="1430" w:type="dxa"/>
            <w:gridSpan w:val="3"/>
            <w:tcBorders>
              <w:top w:val="nil"/>
              <w:left w:val="nil"/>
              <w:bottom w:val="nil"/>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16,698,261 </w:t>
            </w:r>
          </w:p>
        </w:tc>
        <w:tc>
          <w:tcPr>
            <w:tcW w:w="1448" w:type="dxa"/>
            <w:gridSpan w:val="4"/>
            <w:tcBorders>
              <w:top w:val="nil"/>
              <w:left w:val="nil"/>
              <w:bottom w:val="nil"/>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18,556,186 </w:t>
            </w:r>
          </w:p>
        </w:tc>
        <w:tc>
          <w:tcPr>
            <w:tcW w:w="1418" w:type="dxa"/>
            <w:gridSpan w:val="4"/>
            <w:tcBorders>
              <w:top w:val="nil"/>
              <w:left w:val="nil"/>
              <w:bottom w:val="nil"/>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22,005,000 </w:t>
            </w:r>
          </w:p>
        </w:tc>
        <w:tc>
          <w:tcPr>
            <w:tcW w:w="1408" w:type="dxa"/>
            <w:gridSpan w:val="3"/>
            <w:tcBorders>
              <w:top w:val="nil"/>
              <w:left w:val="nil"/>
              <w:bottom w:val="nil"/>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18,884,742 </w:t>
            </w:r>
          </w:p>
        </w:tc>
        <w:tc>
          <w:tcPr>
            <w:tcW w:w="1409" w:type="dxa"/>
            <w:gridSpan w:val="5"/>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18"/>
                <w:szCs w:val="18"/>
              </w:rPr>
            </w:pPr>
            <w:r w:rsidRPr="00116C7F">
              <w:rPr>
                <w:rFonts w:ascii="Cambria" w:eastAsia="Times New Roman" w:hAnsi="Cambria" w:cs="Times New Roman"/>
                <w:color w:val="000000"/>
                <w:sz w:val="18"/>
                <w:szCs w:val="18"/>
              </w:rPr>
              <w:t xml:space="preserve">               17,112,957 </w:t>
            </w:r>
          </w:p>
        </w:tc>
        <w:tc>
          <w:tcPr>
            <w:tcW w:w="969" w:type="dxa"/>
            <w:gridSpan w:val="3"/>
            <w:tcBorders>
              <w:top w:val="nil"/>
              <w:left w:val="single" w:sz="8" w:space="0" w:color="auto"/>
              <w:bottom w:val="nil"/>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4%</w:t>
            </w:r>
          </w:p>
        </w:tc>
      </w:tr>
      <w:tr w:rsidR="00116C7F" w:rsidRPr="00116C7F" w:rsidTr="006A67FD">
        <w:trPr>
          <w:gridBefore w:val="1"/>
          <w:gridAfter w:val="12"/>
          <w:wBefore w:w="250" w:type="dxa"/>
          <w:wAfter w:w="8605" w:type="dxa"/>
          <w:trHeight w:val="330"/>
        </w:trPr>
        <w:tc>
          <w:tcPr>
            <w:tcW w:w="1701"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Total</w:t>
            </w:r>
          </w:p>
        </w:tc>
        <w:tc>
          <w:tcPr>
            <w:tcW w:w="1842" w:type="dxa"/>
            <w:gridSpan w:val="3"/>
            <w:tcBorders>
              <w:top w:val="single" w:sz="8" w:space="0" w:color="auto"/>
              <w:left w:val="nil"/>
              <w:bottom w:val="single" w:sz="8"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 xml:space="preserve">     4,644,157,384 </w:t>
            </w:r>
          </w:p>
        </w:tc>
        <w:tc>
          <w:tcPr>
            <w:tcW w:w="1430" w:type="dxa"/>
            <w:gridSpan w:val="3"/>
            <w:tcBorders>
              <w:top w:val="single" w:sz="8" w:space="0" w:color="auto"/>
              <w:left w:val="nil"/>
              <w:bottom w:val="single" w:sz="8"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 xml:space="preserve">      4,979,257,762 </w:t>
            </w:r>
          </w:p>
        </w:tc>
        <w:tc>
          <w:tcPr>
            <w:tcW w:w="1448" w:type="dxa"/>
            <w:gridSpan w:val="4"/>
            <w:tcBorders>
              <w:top w:val="single" w:sz="8" w:space="0" w:color="auto"/>
              <w:left w:val="nil"/>
              <w:bottom w:val="single" w:sz="8"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 xml:space="preserve">      5,098,942,506 </w:t>
            </w:r>
          </w:p>
        </w:tc>
        <w:tc>
          <w:tcPr>
            <w:tcW w:w="1418" w:type="dxa"/>
            <w:gridSpan w:val="4"/>
            <w:tcBorders>
              <w:top w:val="single" w:sz="8" w:space="0" w:color="auto"/>
              <w:left w:val="nil"/>
              <w:bottom w:val="single" w:sz="8"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 xml:space="preserve">      5,623,576,914 </w:t>
            </w:r>
          </w:p>
        </w:tc>
        <w:tc>
          <w:tcPr>
            <w:tcW w:w="1408" w:type="dxa"/>
            <w:gridSpan w:val="3"/>
            <w:tcBorders>
              <w:top w:val="single" w:sz="8" w:space="0" w:color="auto"/>
              <w:left w:val="nil"/>
              <w:bottom w:val="single" w:sz="8" w:space="0" w:color="auto"/>
              <w:right w:val="single" w:sz="4"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 xml:space="preserve">      4,036,431,567 </w:t>
            </w:r>
          </w:p>
        </w:tc>
        <w:tc>
          <w:tcPr>
            <w:tcW w:w="1409" w:type="dxa"/>
            <w:gridSpan w:val="5"/>
            <w:tcBorders>
              <w:top w:val="single" w:sz="8" w:space="0" w:color="auto"/>
              <w:left w:val="nil"/>
              <w:bottom w:val="single" w:sz="8" w:space="0" w:color="auto"/>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 xml:space="preserve">     4,743,822,350 </w:t>
            </w:r>
          </w:p>
        </w:tc>
        <w:tc>
          <w:tcPr>
            <w:tcW w:w="969" w:type="dxa"/>
            <w:gridSpan w:val="3"/>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0.4%</w:t>
            </w:r>
          </w:p>
        </w:tc>
      </w:tr>
      <w:tr w:rsidR="00116C7F" w:rsidRPr="00116C7F" w:rsidTr="006A67FD">
        <w:trPr>
          <w:gridBefore w:val="3"/>
          <w:gridAfter w:val="3"/>
          <w:wBefore w:w="534" w:type="dxa"/>
          <w:wAfter w:w="1792" w:type="dxa"/>
          <w:trHeight w:val="285"/>
        </w:trPr>
        <w:tc>
          <w:tcPr>
            <w:tcW w:w="2633" w:type="dxa"/>
            <w:gridSpan w:val="4"/>
            <w:tcBorders>
              <w:top w:val="nil"/>
              <w:left w:val="nil"/>
              <w:bottom w:val="nil"/>
              <w:right w:val="nil"/>
            </w:tcBorders>
            <w:shd w:val="clear" w:color="auto" w:fill="auto"/>
            <w:noWrap/>
            <w:vAlign w:val="center"/>
            <w:hideMark/>
          </w:tcPr>
          <w:p w:rsidR="00116C7F" w:rsidRPr="00116C7F" w:rsidRDefault="00116C7F" w:rsidP="006A67FD">
            <w:pPr>
              <w:spacing w:after="0" w:line="240" w:lineRule="auto"/>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Source: Tax Authority 2013</w:t>
            </w:r>
          </w:p>
        </w:tc>
        <w:tc>
          <w:tcPr>
            <w:tcW w:w="3787" w:type="dxa"/>
            <w:gridSpan w:val="10"/>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3322" w:type="dxa"/>
            <w:gridSpan w:val="6"/>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904" w:type="dxa"/>
            <w:gridSpan w:val="8"/>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216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83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54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96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r>
      <w:tr w:rsidR="00116C7F" w:rsidRPr="00116C7F" w:rsidTr="006A67FD">
        <w:trPr>
          <w:gridBefore w:val="3"/>
          <w:gridAfter w:val="3"/>
          <w:wBefore w:w="534" w:type="dxa"/>
          <w:wAfter w:w="1792" w:type="dxa"/>
          <w:trHeight w:val="285"/>
        </w:trPr>
        <w:tc>
          <w:tcPr>
            <w:tcW w:w="2633" w:type="dxa"/>
            <w:gridSpan w:val="4"/>
            <w:tcBorders>
              <w:top w:val="nil"/>
              <w:left w:val="nil"/>
              <w:bottom w:val="nil"/>
              <w:right w:val="nil"/>
            </w:tcBorders>
            <w:shd w:val="clear" w:color="auto" w:fill="auto"/>
            <w:noWrap/>
            <w:vAlign w:val="bottom"/>
            <w:hideMark/>
          </w:tcPr>
          <w:p w:rsidR="00116C7F" w:rsidRDefault="00116C7F" w:rsidP="006A67FD">
            <w:pPr>
              <w:spacing w:after="0" w:line="240" w:lineRule="auto"/>
              <w:rPr>
                <w:rFonts w:ascii="Cambria" w:eastAsia="Times New Roman" w:hAnsi="Cambria" w:cs="Times New Roman"/>
                <w:color w:val="000000"/>
                <w:sz w:val="20"/>
                <w:szCs w:val="20"/>
              </w:rPr>
            </w:pPr>
          </w:p>
          <w:p w:rsidR="00116C7F" w:rsidRDefault="00116C7F" w:rsidP="006A67FD">
            <w:pPr>
              <w:spacing w:after="0" w:line="240" w:lineRule="auto"/>
              <w:rPr>
                <w:rFonts w:ascii="Cambria" w:eastAsia="Times New Roman" w:hAnsi="Cambria" w:cs="Times New Roman"/>
                <w:color w:val="000000"/>
                <w:sz w:val="20"/>
                <w:szCs w:val="20"/>
              </w:rPr>
            </w:pPr>
          </w:p>
          <w:p w:rsidR="00116C7F" w:rsidRDefault="00116C7F" w:rsidP="006A67FD">
            <w:pPr>
              <w:spacing w:after="0" w:line="240" w:lineRule="auto"/>
              <w:rPr>
                <w:rFonts w:ascii="Cambria" w:eastAsia="Times New Roman" w:hAnsi="Cambria" w:cs="Times New Roman"/>
                <w:color w:val="000000"/>
                <w:sz w:val="20"/>
                <w:szCs w:val="20"/>
              </w:rPr>
            </w:pPr>
          </w:p>
          <w:p w:rsidR="00116C7F" w:rsidRPr="00116C7F" w:rsidRDefault="00116C7F" w:rsidP="006A67FD">
            <w:pPr>
              <w:spacing w:after="0" w:line="240" w:lineRule="auto"/>
              <w:rPr>
                <w:rFonts w:ascii="Cambria" w:eastAsia="Times New Roman" w:hAnsi="Cambria" w:cs="Times New Roman"/>
                <w:color w:val="000000"/>
                <w:sz w:val="20"/>
                <w:szCs w:val="20"/>
              </w:rPr>
            </w:pPr>
          </w:p>
        </w:tc>
        <w:tc>
          <w:tcPr>
            <w:tcW w:w="3787" w:type="dxa"/>
            <w:gridSpan w:val="10"/>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3322" w:type="dxa"/>
            <w:gridSpan w:val="6"/>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904" w:type="dxa"/>
            <w:gridSpan w:val="8"/>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216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83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54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96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r>
      <w:tr w:rsidR="00116C7F" w:rsidRPr="00116C7F" w:rsidTr="006A67FD">
        <w:trPr>
          <w:gridBefore w:val="3"/>
          <w:gridAfter w:val="3"/>
          <w:wBefore w:w="534" w:type="dxa"/>
          <w:wAfter w:w="1792" w:type="dxa"/>
          <w:trHeight w:val="300"/>
        </w:trPr>
        <w:tc>
          <w:tcPr>
            <w:tcW w:w="6420" w:type="dxa"/>
            <w:gridSpan w:val="14"/>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4"/>
                <w:szCs w:val="24"/>
              </w:rPr>
              <w:t>Tax Collection from Local Authority</w:t>
            </w:r>
            <w:r w:rsidRPr="00116C7F">
              <w:rPr>
                <w:rFonts w:ascii="Cambria" w:eastAsia="Times New Roman" w:hAnsi="Cambria" w:cs="Times New Roman"/>
                <w:b/>
                <w:bCs/>
                <w:color w:val="000000"/>
                <w:sz w:val="18"/>
                <w:szCs w:val="18"/>
              </w:rPr>
              <w:t xml:space="preserve"> (in Millions of YR)</w:t>
            </w:r>
          </w:p>
        </w:tc>
        <w:tc>
          <w:tcPr>
            <w:tcW w:w="3322" w:type="dxa"/>
            <w:gridSpan w:val="6"/>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904" w:type="dxa"/>
            <w:gridSpan w:val="8"/>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216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83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54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96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r>
      <w:tr w:rsidR="00116C7F" w:rsidRPr="00116C7F" w:rsidTr="006A67FD">
        <w:trPr>
          <w:gridBefore w:val="2"/>
          <w:gridAfter w:val="14"/>
          <w:wBefore w:w="392" w:type="dxa"/>
          <w:wAfter w:w="9006" w:type="dxa"/>
          <w:trHeight w:val="300"/>
        </w:trPr>
        <w:tc>
          <w:tcPr>
            <w:tcW w:w="2126"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Item</w:t>
            </w:r>
          </w:p>
        </w:tc>
        <w:tc>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2007</w:t>
            </w:r>
          </w:p>
        </w:tc>
        <w:tc>
          <w:tcPr>
            <w:tcW w:w="1277" w:type="dxa"/>
            <w:gridSpan w:val="2"/>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2008</w:t>
            </w:r>
          </w:p>
        </w:tc>
        <w:tc>
          <w:tcPr>
            <w:tcW w:w="1275" w:type="dxa"/>
            <w:gridSpan w:val="3"/>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2009</w:t>
            </w:r>
          </w:p>
        </w:tc>
        <w:tc>
          <w:tcPr>
            <w:tcW w:w="1275" w:type="dxa"/>
            <w:gridSpan w:val="5"/>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2010</w:t>
            </w:r>
          </w:p>
        </w:tc>
        <w:tc>
          <w:tcPr>
            <w:tcW w:w="1419" w:type="dxa"/>
            <w:gridSpan w:val="3"/>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2011</w:t>
            </w:r>
          </w:p>
        </w:tc>
        <w:tc>
          <w:tcPr>
            <w:tcW w:w="1503" w:type="dxa"/>
            <w:gridSpan w:val="4"/>
            <w:tcBorders>
              <w:top w:val="single" w:sz="8" w:space="0" w:color="auto"/>
              <w:left w:val="nil"/>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2012</w:t>
            </w:r>
          </w:p>
        </w:tc>
        <w:tc>
          <w:tcPr>
            <w:tcW w:w="932" w:type="dxa"/>
            <w:gridSpan w:val="3"/>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Growth Rate</w:t>
            </w:r>
          </w:p>
        </w:tc>
      </w:tr>
      <w:tr w:rsidR="00116C7F" w:rsidRPr="00116C7F" w:rsidTr="006A67FD">
        <w:trPr>
          <w:gridBefore w:val="2"/>
          <w:gridAfter w:val="14"/>
          <w:wBefore w:w="392" w:type="dxa"/>
          <w:wAfter w:w="9006" w:type="dxa"/>
          <w:trHeight w:val="285"/>
        </w:trPr>
        <w:tc>
          <w:tcPr>
            <w:tcW w:w="2126"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Profit Tax on Free Professions</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503,963,983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588,372,593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554,926,214 </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574,497,243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449,326,194 </w:t>
            </w:r>
          </w:p>
        </w:tc>
        <w:tc>
          <w:tcPr>
            <w:tcW w:w="1503" w:type="dxa"/>
            <w:gridSpan w:val="4"/>
            <w:tcBorders>
              <w:top w:val="nil"/>
              <w:left w:val="nil"/>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sz w:val="16"/>
                <w:szCs w:val="16"/>
              </w:rPr>
            </w:pPr>
            <w:r w:rsidRPr="00116C7F">
              <w:rPr>
                <w:rFonts w:ascii="Cambria" w:eastAsia="Times New Roman" w:hAnsi="Cambria" w:cs="Times New Roman"/>
                <w:sz w:val="16"/>
                <w:szCs w:val="16"/>
              </w:rPr>
              <w:t xml:space="preserve">            398,280,859 </w:t>
            </w:r>
          </w:p>
        </w:tc>
        <w:tc>
          <w:tcPr>
            <w:tcW w:w="932"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-5%</w:t>
            </w:r>
          </w:p>
        </w:tc>
      </w:tr>
      <w:tr w:rsidR="00116C7F" w:rsidRPr="00116C7F" w:rsidTr="006A67FD">
        <w:trPr>
          <w:gridBefore w:val="2"/>
          <w:gridAfter w:val="14"/>
          <w:wBefore w:w="392" w:type="dxa"/>
          <w:wAfter w:w="9006" w:type="dxa"/>
          <w:trHeight w:val="285"/>
        </w:trPr>
        <w:tc>
          <w:tcPr>
            <w:tcW w:w="2126"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Property Ownership Transfer Fee</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1503" w:type="dxa"/>
            <w:gridSpan w:val="4"/>
            <w:tcBorders>
              <w:top w:val="nil"/>
              <w:left w:val="nil"/>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sz w:val="16"/>
                <w:szCs w:val="16"/>
              </w:rPr>
            </w:pPr>
            <w:r w:rsidRPr="00116C7F">
              <w:rPr>
                <w:rFonts w:ascii="Cambria" w:eastAsia="Times New Roman" w:hAnsi="Cambria" w:cs="Times New Roman"/>
                <w:sz w:val="16"/>
                <w:szCs w:val="16"/>
              </w:rPr>
              <w:t xml:space="preserve">-   </w:t>
            </w:r>
          </w:p>
        </w:tc>
        <w:tc>
          <w:tcPr>
            <w:tcW w:w="932"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0%</w:t>
            </w:r>
          </w:p>
        </w:tc>
      </w:tr>
      <w:tr w:rsidR="00116C7F" w:rsidRPr="00116C7F" w:rsidTr="006A67FD">
        <w:trPr>
          <w:gridBefore w:val="2"/>
          <w:gridAfter w:val="14"/>
          <w:wBefore w:w="392" w:type="dxa"/>
          <w:wAfter w:w="9006" w:type="dxa"/>
          <w:trHeight w:val="285"/>
        </w:trPr>
        <w:tc>
          <w:tcPr>
            <w:tcW w:w="2126"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Sales Tax on Entertainment tickets</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15,138,947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15,367,832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19,114,118 </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17,370,945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7,631,878 </w:t>
            </w:r>
          </w:p>
        </w:tc>
        <w:tc>
          <w:tcPr>
            <w:tcW w:w="1503" w:type="dxa"/>
            <w:gridSpan w:val="4"/>
            <w:tcBorders>
              <w:top w:val="nil"/>
              <w:left w:val="nil"/>
              <w:bottom w:val="single" w:sz="4" w:space="0" w:color="auto"/>
              <w:right w:val="nil"/>
            </w:tcBorders>
            <w:shd w:val="clear" w:color="auto" w:fill="auto"/>
            <w:vAlign w:val="center"/>
            <w:hideMark/>
          </w:tcPr>
          <w:p w:rsidR="00116C7F" w:rsidRPr="00116C7F" w:rsidRDefault="00116C7F" w:rsidP="006A67FD">
            <w:pPr>
              <w:spacing w:after="0" w:line="240" w:lineRule="auto"/>
              <w:jc w:val="center"/>
              <w:rPr>
                <w:rFonts w:ascii="Cambria" w:eastAsia="Times New Roman" w:hAnsi="Cambria" w:cs="Times New Roman"/>
                <w:sz w:val="16"/>
                <w:szCs w:val="16"/>
              </w:rPr>
            </w:pPr>
            <w:r w:rsidRPr="00116C7F">
              <w:rPr>
                <w:rFonts w:ascii="Cambria" w:eastAsia="Times New Roman" w:hAnsi="Cambria" w:cs="Times New Roman"/>
                <w:sz w:val="16"/>
                <w:szCs w:val="16"/>
              </w:rPr>
              <w:t xml:space="preserve">               22,524,063 </w:t>
            </w:r>
          </w:p>
        </w:tc>
        <w:tc>
          <w:tcPr>
            <w:tcW w:w="932"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8%</w:t>
            </w:r>
          </w:p>
        </w:tc>
      </w:tr>
      <w:tr w:rsidR="00116C7F" w:rsidRPr="00116C7F" w:rsidTr="006A67FD">
        <w:trPr>
          <w:gridBefore w:val="2"/>
          <w:gridAfter w:val="14"/>
          <w:wBefore w:w="392" w:type="dxa"/>
          <w:wAfter w:w="9006" w:type="dxa"/>
          <w:trHeight w:val="285"/>
        </w:trPr>
        <w:tc>
          <w:tcPr>
            <w:tcW w:w="2126"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Fees license on different professions</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425,000 </w:t>
            </w:r>
          </w:p>
        </w:tc>
        <w:tc>
          <w:tcPr>
            <w:tcW w:w="1503" w:type="dxa"/>
            <w:gridSpan w:val="4"/>
            <w:tcBorders>
              <w:top w:val="nil"/>
              <w:left w:val="nil"/>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365,000 </w:t>
            </w:r>
          </w:p>
        </w:tc>
        <w:tc>
          <w:tcPr>
            <w:tcW w:w="932"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-3%</w:t>
            </w:r>
          </w:p>
        </w:tc>
      </w:tr>
      <w:tr w:rsidR="00116C7F" w:rsidRPr="00116C7F" w:rsidTr="006A67FD">
        <w:trPr>
          <w:gridBefore w:val="2"/>
          <w:gridAfter w:val="14"/>
          <w:wBefore w:w="392" w:type="dxa"/>
          <w:wAfter w:w="9006" w:type="dxa"/>
          <w:trHeight w:val="285"/>
        </w:trPr>
        <w:tc>
          <w:tcPr>
            <w:tcW w:w="2126"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Local fines and Confiscations</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337,920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759,787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2,712,170 </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1,511,678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459,658 </w:t>
            </w:r>
          </w:p>
        </w:tc>
        <w:tc>
          <w:tcPr>
            <w:tcW w:w="1503" w:type="dxa"/>
            <w:gridSpan w:val="4"/>
            <w:tcBorders>
              <w:top w:val="nil"/>
              <w:left w:val="nil"/>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sz w:val="16"/>
                <w:szCs w:val="16"/>
              </w:rPr>
            </w:pPr>
            <w:r w:rsidRPr="00116C7F">
              <w:rPr>
                <w:rFonts w:ascii="Cambria" w:eastAsia="Times New Roman" w:hAnsi="Cambria" w:cs="Times New Roman"/>
                <w:sz w:val="16"/>
                <w:szCs w:val="16"/>
              </w:rPr>
              <w:t xml:space="preserve">                  1,320,343 </w:t>
            </w:r>
          </w:p>
        </w:tc>
        <w:tc>
          <w:tcPr>
            <w:tcW w:w="932"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31%</w:t>
            </w:r>
          </w:p>
        </w:tc>
      </w:tr>
      <w:tr w:rsidR="00116C7F" w:rsidRPr="00116C7F" w:rsidTr="006A67FD">
        <w:trPr>
          <w:gridBefore w:val="2"/>
          <w:gridAfter w:val="14"/>
          <w:wBefore w:w="392" w:type="dxa"/>
          <w:wAfter w:w="9006" w:type="dxa"/>
          <w:trHeight w:val="300"/>
        </w:trPr>
        <w:tc>
          <w:tcPr>
            <w:tcW w:w="2126" w:type="dxa"/>
            <w:gridSpan w:val="4"/>
            <w:tcBorders>
              <w:top w:val="nil"/>
              <w:left w:val="single" w:sz="8" w:space="0" w:color="auto"/>
              <w:bottom w:val="nil"/>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Revenue from Sanctions</w:t>
            </w:r>
          </w:p>
        </w:tc>
        <w:tc>
          <w:tcPr>
            <w:tcW w:w="1275" w:type="dxa"/>
            <w:gridSpan w:val="2"/>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1,621,963 </w:t>
            </w:r>
          </w:p>
        </w:tc>
        <w:tc>
          <w:tcPr>
            <w:tcW w:w="1277" w:type="dxa"/>
            <w:gridSpan w:val="2"/>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2,875,566 </w:t>
            </w:r>
          </w:p>
        </w:tc>
        <w:tc>
          <w:tcPr>
            <w:tcW w:w="1275" w:type="dxa"/>
            <w:gridSpan w:val="3"/>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2,317,877 </w:t>
            </w:r>
          </w:p>
        </w:tc>
        <w:tc>
          <w:tcPr>
            <w:tcW w:w="1275" w:type="dxa"/>
            <w:gridSpan w:val="5"/>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1,671,664 </w:t>
            </w:r>
          </w:p>
        </w:tc>
        <w:tc>
          <w:tcPr>
            <w:tcW w:w="1419" w:type="dxa"/>
            <w:gridSpan w:val="3"/>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1,921,221 </w:t>
            </w:r>
          </w:p>
        </w:tc>
        <w:tc>
          <w:tcPr>
            <w:tcW w:w="1503" w:type="dxa"/>
            <w:gridSpan w:val="4"/>
            <w:tcBorders>
              <w:top w:val="nil"/>
              <w:left w:val="nil"/>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1,510,368 </w:t>
            </w:r>
          </w:p>
        </w:tc>
        <w:tc>
          <w:tcPr>
            <w:tcW w:w="932" w:type="dxa"/>
            <w:gridSpan w:val="3"/>
            <w:tcBorders>
              <w:top w:val="nil"/>
              <w:left w:val="single" w:sz="8" w:space="0" w:color="auto"/>
              <w:bottom w:val="nil"/>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-1%</w:t>
            </w:r>
          </w:p>
        </w:tc>
      </w:tr>
      <w:tr w:rsidR="00116C7F" w:rsidRPr="00116C7F" w:rsidTr="006A67FD">
        <w:trPr>
          <w:gridBefore w:val="2"/>
          <w:gridAfter w:val="14"/>
          <w:wBefore w:w="392" w:type="dxa"/>
          <w:wAfter w:w="9006" w:type="dxa"/>
          <w:trHeight w:val="300"/>
        </w:trPr>
        <w:tc>
          <w:tcPr>
            <w:tcW w:w="2126"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Total Local Revenues</w:t>
            </w:r>
          </w:p>
        </w:tc>
        <w:tc>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521,062,813 </w:t>
            </w:r>
          </w:p>
        </w:tc>
        <w:tc>
          <w:tcPr>
            <w:tcW w:w="1277" w:type="dxa"/>
            <w:gridSpan w:val="2"/>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607,375,778 </w:t>
            </w:r>
          </w:p>
        </w:tc>
        <w:tc>
          <w:tcPr>
            <w:tcW w:w="1275" w:type="dxa"/>
            <w:gridSpan w:val="3"/>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579,070,379 </w:t>
            </w:r>
          </w:p>
        </w:tc>
        <w:tc>
          <w:tcPr>
            <w:tcW w:w="1275" w:type="dxa"/>
            <w:gridSpan w:val="5"/>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595,051,530 </w:t>
            </w:r>
          </w:p>
        </w:tc>
        <w:tc>
          <w:tcPr>
            <w:tcW w:w="1419" w:type="dxa"/>
            <w:gridSpan w:val="3"/>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459,763,951 </w:t>
            </w:r>
          </w:p>
        </w:tc>
        <w:tc>
          <w:tcPr>
            <w:tcW w:w="1503" w:type="dxa"/>
            <w:gridSpan w:val="4"/>
            <w:tcBorders>
              <w:top w:val="single" w:sz="8" w:space="0" w:color="auto"/>
              <w:left w:val="nil"/>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424,000,633 </w:t>
            </w:r>
          </w:p>
        </w:tc>
        <w:tc>
          <w:tcPr>
            <w:tcW w:w="932" w:type="dxa"/>
            <w:gridSpan w:val="3"/>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-4%</w:t>
            </w:r>
          </w:p>
        </w:tc>
      </w:tr>
      <w:tr w:rsidR="00116C7F" w:rsidRPr="00116C7F" w:rsidTr="006A67FD">
        <w:trPr>
          <w:gridBefore w:val="2"/>
          <w:gridAfter w:val="14"/>
          <w:wBefore w:w="392" w:type="dxa"/>
          <w:wAfter w:w="9006" w:type="dxa"/>
          <w:trHeight w:val="285"/>
        </w:trPr>
        <w:tc>
          <w:tcPr>
            <w:tcW w:w="2126"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Earning Tax on Free Professions</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26,806,716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30,684,725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37,428,949 </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46,010,773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27,244,594 </w:t>
            </w:r>
          </w:p>
        </w:tc>
        <w:tc>
          <w:tcPr>
            <w:tcW w:w="1503" w:type="dxa"/>
            <w:gridSpan w:val="4"/>
            <w:tcBorders>
              <w:top w:val="nil"/>
              <w:left w:val="nil"/>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32,896,795 </w:t>
            </w:r>
          </w:p>
        </w:tc>
        <w:tc>
          <w:tcPr>
            <w:tcW w:w="932"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4%</w:t>
            </w:r>
          </w:p>
        </w:tc>
      </w:tr>
      <w:tr w:rsidR="00116C7F" w:rsidRPr="00116C7F" w:rsidTr="006A67FD">
        <w:trPr>
          <w:gridBefore w:val="2"/>
          <w:gridAfter w:val="14"/>
          <w:wBefore w:w="392" w:type="dxa"/>
          <w:wAfter w:w="9006" w:type="dxa"/>
          <w:trHeight w:val="285"/>
        </w:trPr>
        <w:tc>
          <w:tcPr>
            <w:tcW w:w="2126"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222222"/>
                <w:sz w:val="20"/>
                <w:szCs w:val="20"/>
              </w:rPr>
            </w:pPr>
            <w:r w:rsidRPr="00116C7F">
              <w:rPr>
                <w:rFonts w:ascii="Cambria" w:eastAsia="Times New Roman" w:hAnsi="Cambria" w:cs="Times New Roman"/>
                <w:color w:val="222222"/>
                <w:sz w:val="20"/>
                <w:szCs w:val="20"/>
              </w:rPr>
              <w:t>Tax on the proceeds of real estate</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1,044,527,431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1,205,759,505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1,348,906,650 </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1,547,397,794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1,175,718,415 </w:t>
            </w:r>
          </w:p>
        </w:tc>
        <w:tc>
          <w:tcPr>
            <w:tcW w:w="1503" w:type="dxa"/>
            <w:gridSpan w:val="4"/>
            <w:tcBorders>
              <w:top w:val="nil"/>
              <w:left w:val="nil"/>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1,422,936,310 </w:t>
            </w:r>
          </w:p>
        </w:tc>
        <w:tc>
          <w:tcPr>
            <w:tcW w:w="932"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6%</w:t>
            </w:r>
          </w:p>
        </w:tc>
      </w:tr>
      <w:tr w:rsidR="00116C7F" w:rsidRPr="00116C7F" w:rsidTr="006A67FD">
        <w:trPr>
          <w:gridBefore w:val="2"/>
          <w:gridAfter w:val="14"/>
          <w:wBefore w:w="392" w:type="dxa"/>
          <w:wAfter w:w="9006" w:type="dxa"/>
          <w:trHeight w:val="285"/>
        </w:trPr>
        <w:tc>
          <w:tcPr>
            <w:tcW w:w="2126"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Qat Sales Tax</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3,047,972,721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3,127,622,582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3,121,738,839 </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3,420,075,672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2,367,462,623 </w:t>
            </w:r>
          </w:p>
        </w:tc>
        <w:tc>
          <w:tcPr>
            <w:tcW w:w="1503" w:type="dxa"/>
            <w:gridSpan w:val="4"/>
            <w:tcBorders>
              <w:top w:val="nil"/>
              <w:left w:val="nil"/>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2,840,813,696 </w:t>
            </w:r>
          </w:p>
        </w:tc>
        <w:tc>
          <w:tcPr>
            <w:tcW w:w="932"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-1%</w:t>
            </w:r>
          </w:p>
        </w:tc>
      </w:tr>
      <w:tr w:rsidR="00116C7F" w:rsidRPr="00116C7F" w:rsidTr="006A67FD">
        <w:trPr>
          <w:gridBefore w:val="2"/>
          <w:gridAfter w:val="14"/>
          <w:wBefore w:w="392" w:type="dxa"/>
          <w:wAfter w:w="9006" w:type="dxa"/>
          <w:trHeight w:val="285"/>
        </w:trPr>
        <w:tc>
          <w:tcPr>
            <w:tcW w:w="2126"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Joint fines and Confiscations</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3,473,338 </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7,571,632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11,702,634 </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15,041,145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6,241,984 </w:t>
            </w:r>
          </w:p>
        </w:tc>
        <w:tc>
          <w:tcPr>
            <w:tcW w:w="1503" w:type="dxa"/>
            <w:gridSpan w:val="4"/>
            <w:tcBorders>
              <w:top w:val="nil"/>
              <w:left w:val="nil"/>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23,174,916 </w:t>
            </w:r>
          </w:p>
        </w:tc>
        <w:tc>
          <w:tcPr>
            <w:tcW w:w="932" w:type="dxa"/>
            <w:gridSpan w:val="3"/>
            <w:tcBorders>
              <w:top w:val="nil"/>
              <w:left w:val="single" w:sz="8" w:space="0" w:color="auto"/>
              <w:bottom w:val="single" w:sz="4"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46%</w:t>
            </w:r>
          </w:p>
        </w:tc>
      </w:tr>
      <w:tr w:rsidR="00116C7F" w:rsidRPr="00116C7F" w:rsidTr="006A67FD">
        <w:trPr>
          <w:gridBefore w:val="2"/>
          <w:gridAfter w:val="14"/>
          <w:wBefore w:w="392" w:type="dxa"/>
          <w:wAfter w:w="9006" w:type="dxa"/>
          <w:trHeight w:val="300"/>
        </w:trPr>
        <w:tc>
          <w:tcPr>
            <w:tcW w:w="2126" w:type="dxa"/>
            <w:gridSpan w:val="4"/>
            <w:tcBorders>
              <w:top w:val="nil"/>
              <w:left w:val="single" w:sz="8" w:space="0" w:color="auto"/>
              <w:bottom w:val="nil"/>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Other Fees</w:t>
            </w:r>
          </w:p>
        </w:tc>
        <w:tc>
          <w:tcPr>
            <w:tcW w:w="1275" w:type="dxa"/>
            <w:gridSpan w:val="2"/>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314,365 </w:t>
            </w:r>
          </w:p>
        </w:tc>
        <w:tc>
          <w:tcPr>
            <w:tcW w:w="1277" w:type="dxa"/>
            <w:gridSpan w:val="2"/>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243,540 </w:t>
            </w:r>
          </w:p>
        </w:tc>
        <w:tc>
          <w:tcPr>
            <w:tcW w:w="1275" w:type="dxa"/>
            <w:gridSpan w:val="3"/>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95,055 </w:t>
            </w:r>
          </w:p>
        </w:tc>
        <w:tc>
          <w:tcPr>
            <w:tcW w:w="1275" w:type="dxa"/>
            <w:gridSpan w:val="5"/>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1419" w:type="dxa"/>
            <w:gridSpan w:val="3"/>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1503" w:type="dxa"/>
            <w:gridSpan w:val="4"/>
            <w:tcBorders>
              <w:top w:val="nil"/>
              <w:left w:val="nil"/>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xml:space="preserve">-   </w:t>
            </w:r>
          </w:p>
        </w:tc>
        <w:tc>
          <w:tcPr>
            <w:tcW w:w="932" w:type="dxa"/>
            <w:gridSpan w:val="3"/>
            <w:tcBorders>
              <w:top w:val="nil"/>
              <w:left w:val="single" w:sz="8" w:space="0" w:color="auto"/>
              <w:bottom w:val="nil"/>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-100%</w:t>
            </w:r>
          </w:p>
        </w:tc>
      </w:tr>
      <w:tr w:rsidR="00116C7F" w:rsidRPr="00116C7F" w:rsidTr="006A67FD">
        <w:trPr>
          <w:gridBefore w:val="2"/>
          <w:gridAfter w:val="14"/>
          <w:wBefore w:w="392" w:type="dxa"/>
          <w:wAfter w:w="9006" w:type="dxa"/>
          <w:trHeight w:val="300"/>
        </w:trPr>
        <w:tc>
          <w:tcPr>
            <w:tcW w:w="2126"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Total Joint Revenues</w:t>
            </w:r>
          </w:p>
        </w:tc>
        <w:tc>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4,123,094,571 </w:t>
            </w:r>
          </w:p>
        </w:tc>
        <w:tc>
          <w:tcPr>
            <w:tcW w:w="1277" w:type="dxa"/>
            <w:gridSpan w:val="2"/>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4,371,881,984 </w:t>
            </w:r>
          </w:p>
        </w:tc>
        <w:tc>
          <w:tcPr>
            <w:tcW w:w="1275" w:type="dxa"/>
            <w:gridSpan w:val="3"/>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4,519,872,127 </w:t>
            </w:r>
          </w:p>
        </w:tc>
        <w:tc>
          <w:tcPr>
            <w:tcW w:w="1275" w:type="dxa"/>
            <w:gridSpan w:val="5"/>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5,028,525,384 </w:t>
            </w:r>
          </w:p>
        </w:tc>
        <w:tc>
          <w:tcPr>
            <w:tcW w:w="1419" w:type="dxa"/>
            <w:gridSpan w:val="3"/>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3,576,667,616 </w:t>
            </w:r>
          </w:p>
        </w:tc>
        <w:tc>
          <w:tcPr>
            <w:tcW w:w="1503" w:type="dxa"/>
            <w:gridSpan w:val="4"/>
            <w:tcBorders>
              <w:top w:val="single" w:sz="8" w:space="0" w:color="auto"/>
              <w:left w:val="nil"/>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4,319,821,717 </w:t>
            </w:r>
          </w:p>
        </w:tc>
        <w:tc>
          <w:tcPr>
            <w:tcW w:w="932" w:type="dxa"/>
            <w:gridSpan w:val="3"/>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1%</w:t>
            </w:r>
          </w:p>
        </w:tc>
      </w:tr>
      <w:tr w:rsidR="00116C7F" w:rsidRPr="00116C7F" w:rsidTr="006A67FD">
        <w:trPr>
          <w:gridBefore w:val="2"/>
          <w:gridAfter w:val="14"/>
          <w:wBefore w:w="392" w:type="dxa"/>
          <w:wAfter w:w="9006" w:type="dxa"/>
          <w:trHeight w:val="300"/>
        </w:trPr>
        <w:tc>
          <w:tcPr>
            <w:tcW w:w="2126" w:type="dxa"/>
            <w:gridSpan w:val="4"/>
            <w:tcBorders>
              <w:top w:val="nil"/>
              <w:left w:val="single" w:sz="8" w:space="0" w:color="auto"/>
              <w:bottom w:val="nil"/>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 </w:t>
            </w:r>
          </w:p>
        </w:tc>
        <w:tc>
          <w:tcPr>
            <w:tcW w:w="1275" w:type="dxa"/>
            <w:gridSpan w:val="2"/>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w:t>
            </w:r>
          </w:p>
        </w:tc>
        <w:tc>
          <w:tcPr>
            <w:tcW w:w="1277" w:type="dxa"/>
            <w:gridSpan w:val="2"/>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w:t>
            </w:r>
          </w:p>
        </w:tc>
        <w:tc>
          <w:tcPr>
            <w:tcW w:w="1275" w:type="dxa"/>
            <w:gridSpan w:val="3"/>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w:t>
            </w:r>
          </w:p>
        </w:tc>
        <w:tc>
          <w:tcPr>
            <w:tcW w:w="1275" w:type="dxa"/>
            <w:gridSpan w:val="5"/>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w:t>
            </w:r>
          </w:p>
        </w:tc>
        <w:tc>
          <w:tcPr>
            <w:tcW w:w="1419" w:type="dxa"/>
            <w:gridSpan w:val="3"/>
            <w:tcBorders>
              <w:top w:val="nil"/>
              <w:left w:val="nil"/>
              <w:bottom w:val="nil"/>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w:t>
            </w:r>
          </w:p>
        </w:tc>
        <w:tc>
          <w:tcPr>
            <w:tcW w:w="1503" w:type="dxa"/>
            <w:gridSpan w:val="4"/>
            <w:tcBorders>
              <w:top w:val="nil"/>
              <w:left w:val="nil"/>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w:t>
            </w:r>
          </w:p>
        </w:tc>
        <w:tc>
          <w:tcPr>
            <w:tcW w:w="932" w:type="dxa"/>
            <w:gridSpan w:val="3"/>
            <w:tcBorders>
              <w:top w:val="nil"/>
              <w:left w:val="single" w:sz="8" w:space="0" w:color="auto"/>
              <w:bottom w:val="nil"/>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16"/>
                <w:szCs w:val="16"/>
              </w:rPr>
            </w:pPr>
            <w:r w:rsidRPr="00116C7F">
              <w:rPr>
                <w:rFonts w:ascii="Cambria" w:eastAsia="Times New Roman" w:hAnsi="Cambria" w:cs="Times New Roman"/>
                <w:color w:val="000000"/>
                <w:sz w:val="16"/>
                <w:szCs w:val="16"/>
              </w:rPr>
              <w:t> </w:t>
            </w:r>
          </w:p>
        </w:tc>
      </w:tr>
      <w:tr w:rsidR="00116C7F" w:rsidRPr="00116C7F" w:rsidTr="006A67FD">
        <w:trPr>
          <w:gridBefore w:val="2"/>
          <w:gridAfter w:val="14"/>
          <w:wBefore w:w="392" w:type="dxa"/>
          <w:wAfter w:w="9006" w:type="dxa"/>
          <w:trHeight w:val="300"/>
        </w:trPr>
        <w:tc>
          <w:tcPr>
            <w:tcW w:w="2126"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Total Tax Revenues</w:t>
            </w:r>
          </w:p>
        </w:tc>
        <w:tc>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4,644,157,384 </w:t>
            </w:r>
          </w:p>
        </w:tc>
        <w:tc>
          <w:tcPr>
            <w:tcW w:w="1277" w:type="dxa"/>
            <w:gridSpan w:val="2"/>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4,979,257,762 </w:t>
            </w:r>
          </w:p>
        </w:tc>
        <w:tc>
          <w:tcPr>
            <w:tcW w:w="1275" w:type="dxa"/>
            <w:gridSpan w:val="3"/>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5,098,942,506 </w:t>
            </w:r>
          </w:p>
        </w:tc>
        <w:tc>
          <w:tcPr>
            <w:tcW w:w="1275" w:type="dxa"/>
            <w:gridSpan w:val="5"/>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5,623,576,914 </w:t>
            </w:r>
          </w:p>
        </w:tc>
        <w:tc>
          <w:tcPr>
            <w:tcW w:w="1419" w:type="dxa"/>
            <w:gridSpan w:val="3"/>
            <w:tcBorders>
              <w:top w:val="single" w:sz="8" w:space="0" w:color="auto"/>
              <w:left w:val="nil"/>
              <w:bottom w:val="single" w:sz="8" w:space="0" w:color="auto"/>
              <w:right w:val="single" w:sz="4"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4,036,431,567 </w:t>
            </w:r>
          </w:p>
        </w:tc>
        <w:tc>
          <w:tcPr>
            <w:tcW w:w="1503" w:type="dxa"/>
            <w:gridSpan w:val="4"/>
            <w:tcBorders>
              <w:top w:val="single" w:sz="8" w:space="0" w:color="auto"/>
              <w:left w:val="nil"/>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 xml:space="preserve">     4,743,822,350 </w:t>
            </w:r>
          </w:p>
        </w:tc>
        <w:tc>
          <w:tcPr>
            <w:tcW w:w="932" w:type="dxa"/>
            <w:gridSpan w:val="3"/>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16"/>
                <w:szCs w:val="16"/>
              </w:rPr>
            </w:pPr>
            <w:r w:rsidRPr="00116C7F">
              <w:rPr>
                <w:rFonts w:ascii="Cambria" w:eastAsia="Times New Roman" w:hAnsi="Cambria" w:cs="Times New Roman"/>
                <w:b/>
                <w:bCs/>
                <w:color w:val="000000"/>
                <w:sz w:val="16"/>
                <w:szCs w:val="16"/>
              </w:rPr>
              <w:t>0.4%</w:t>
            </w:r>
          </w:p>
        </w:tc>
      </w:tr>
      <w:tr w:rsidR="00116C7F" w:rsidRPr="00116C7F" w:rsidTr="006A67FD">
        <w:trPr>
          <w:gridBefore w:val="3"/>
          <w:gridAfter w:val="3"/>
          <w:wBefore w:w="534" w:type="dxa"/>
          <w:wAfter w:w="1792" w:type="dxa"/>
          <w:trHeight w:val="285"/>
        </w:trPr>
        <w:tc>
          <w:tcPr>
            <w:tcW w:w="2633" w:type="dxa"/>
            <w:gridSpan w:val="4"/>
            <w:tcBorders>
              <w:top w:val="nil"/>
              <w:left w:val="nil"/>
              <w:bottom w:val="nil"/>
              <w:right w:val="nil"/>
            </w:tcBorders>
            <w:shd w:val="clear" w:color="auto" w:fill="auto"/>
            <w:noWrap/>
            <w:vAlign w:val="center"/>
            <w:hideMark/>
          </w:tcPr>
          <w:p w:rsidR="00116C7F" w:rsidRPr="00116C7F" w:rsidRDefault="00116C7F" w:rsidP="006A67FD">
            <w:pPr>
              <w:spacing w:after="0" w:line="240" w:lineRule="auto"/>
              <w:rPr>
                <w:rFonts w:ascii="Cambria" w:eastAsia="Times New Roman" w:hAnsi="Cambria" w:cs="Times New Roman"/>
                <w:b/>
                <w:bCs/>
                <w:color w:val="000000"/>
                <w:sz w:val="18"/>
                <w:szCs w:val="18"/>
              </w:rPr>
            </w:pPr>
            <w:r w:rsidRPr="00116C7F">
              <w:rPr>
                <w:rFonts w:ascii="Cambria" w:eastAsia="Times New Roman" w:hAnsi="Cambria" w:cs="Times New Roman"/>
                <w:b/>
                <w:bCs/>
                <w:color w:val="000000"/>
                <w:sz w:val="18"/>
                <w:szCs w:val="18"/>
              </w:rPr>
              <w:t xml:space="preserve">Source: </w:t>
            </w:r>
          </w:p>
          <w:p w:rsidR="00116C7F" w:rsidRPr="00116C7F" w:rsidRDefault="00116C7F" w:rsidP="006A67FD">
            <w:pPr>
              <w:spacing w:after="0" w:line="240" w:lineRule="auto"/>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18"/>
                <w:szCs w:val="18"/>
              </w:rPr>
              <w:t>Tax Authority 2013</w:t>
            </w:r>
          </w:p>
        </w:tc>
        <w:tc>
          <w:tcPr>
            <w:tcW w:w="3787" w:type="dxa"/>
            <w:gridSpan w:val="10"/>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3322" w:type="dxa"/>
            <w:gridSpan w:val="6"/>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904" w:type="dxa"/>
            <w:gridSpan w:val="8"/>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216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83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54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96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r>
      <w:tr w:rsidR="00116C7F" w:rsidRPr="00116C7F" w:rsidTr="006A67FD">
        <w:trPr>
          <w:gridBefore w:val="3"/>
          <w:gridAfter w:val="3"/>
          <w:wBefore w:w="534" w:type="dxa"/>
          <w:wAfter w:w="1792" w:type="dxa"/>
          <w:trHeight w:val="285"/>
        </w:trPr>
        <w:tc>
          <w:tcPr>
            <w:tcW w:w="2633" w:type="dxa"/>
            <w:gridSpan w:val="4"/>
            <w:tcBorders>
              <w:top w:val="nil"/>
              <w:left w:val="nil"/>
              <w:bottom w:val="nil"/>
              <w:right w:val="nil"/>
            </w:tcBorders>
            <w:shd w:val="clear" w:color="auto" w:fill="auto"/>
            <w:noWrap/>
            <w:vAlign w:val="bottom"/>
            <w:hideMark/>
          </w:tcPr>
          <w:p w:rsidR="00116C7F" w:rsidRDefault="00116C7F" w:rsidP="006A67FD">
            <w:pPr>
              <w:spacing w:after="0" w:line="240" w:lineRule="auto"/>
              <w:rPr>
                <w:rFonts w:ascii="Cambria" w:eastAsia="Times New Roman" w:hAnsi="Cambria" w:cs="Times New Roman"/>
                <w:color w:val="000000"/>
                <w:sz w:val="20"/>
                <w:szCs w:val="20"/>
              </w:rPr>
            </w:pPr>
          </w:p>
          <w:p w:rsidR="00116C7F" w:rsidRDefault="00116C7F" w:rsidP="006A67FD">
            <w:pPr>
              <w:spacing w:after="0" w:line="240" w:lineRule="auto"/>
              <w:rPr>
                <w:rFonts w:ascii="Cambria" w:eastAsia="Times New Roman" w:hAnsi="Cambria" w:cs="Times New Roman"/>
                <w:color w:val="000000"/>
                <w:sz w:val="20"/>
                <w:szCs w:val="20"/>
              </w:rPr>
            </w:pPr>
          </w:p>
          <w:p w:rsidR="00116C7F" w:rsidRDefault="00116C7F" w:rsidP="006A67FD">
            <w:pPr>
              <w:spacing w:after="0" w:line="240" w:lineRule="auto"/>
              <w:rPr>
                <w:rFonts w:ascii="Cambria" w:eastAsia="Times New Roman" w:hAnsi="Cambria" w:cs="Times New Roman"/>
                <w:color w:val="000000"/>
                <w:sz w:val="20"/>
                <w:szCs w:val="20"/>
              </w:rPr>
            </w:pPr>
          </w:p>
          <w:p w:rsidR="00116C7F" w:rsidRDefault="00116C7F" w:rsidP="006A67FD">
            <w:pPr>
              <w:spacing w:after="0" w:line="240" w:lineRule="auto"/>
              <w:rPr>
                <w:rFonts w:ascii="Cambria" w:eastAsia="Times New Roman" w:hAnsi="Cambria" w:cs="Times New Roman"/>
                <w:color w:val="000000"/>
                <w:sz w:val="20"/>
                <w:szCs w:val="20"/>
              </w:rPr>
            </w:pPr>
          </w:p>
          <w:p w:rsidR="00116C7F" w:rsidRDefault="00116C7F"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EB62EA" w:rsidRDefault="00EB62EA" w:rsidP="006A67FD">
            <w:pPr>
              <w:spacing w:after="0" w:line="240" w:lineRule="auto"/>
              <w:rPr>
                <w:rFonts w:ascii="Cambria" w:eastAsia="Times New Roman" w:hAnsi="Cambria" w:cs="Times New Roman"/>
                <w:color w:val="000000"/>
                <w:sz w:val="20"/>
                <w:szCs w:val="20"/>
              </w:rPr>
            </w:pPr>
          </w:p>
          <w:p w:rsidR="00116C7F" w:rsidRDefault="00116C7F" w:rsidP="006A67FD">
            <w:pPr>
              <w:spacing w:after="0" w:line="240" w:lineRule="auto"/>
              <w:rPr>
                <w:rFonts w:ascii="Cambria" w:eastAsia="Times New Roman" w:hAnsi="Cambria" w:cs="Times New Roman"/>
                <w:color w:val="000000"/>
                <w:sz w:val="20"/>
                <w:szCs w:val="20"/>
              </w:rPr>
            </w:pPr>
          </w:p>
          <w:p w:rsidR="00116C7F" w:rsidRDefault="00116C7F" w:rsidP="006A67FD">
            <w:pPr>
              <w:spacing w:after="0" w:line="240" w:lineRule="auto"/>
              <w:rPr>
                <w:rFonts w:ascii="Cambria" w:eastAsia="Times New Roman" w:hAnsi="Cambria" w:cs="Times New Roman"/>
                <w:color w:val="000000"/>
                <w:sz w:val="20"/>
                <w:szCs w:val="20"/>
              </w:rPr>
            </w:pPr>
          </w:p>
          <w:p w:rsidR="00116C7F" w:rsidRPr="00116C7F" w:rsidRDefault="00116C7F" w:rsidP="006A67FD">
            <w:pPr>
              <w:spacing w:after="0" w:line="240" w:lineRule="auto"/>
              <w:rPr>
                <w:rFonts w:ascii="Cambria" w:eastAsia="Times New Roman" w:hAnsi="Cambria" w:cs="Times New Roman"/>
                <w:color w:val="000000"/>
                <w:sz w:val="20"/>
                <w:szCs w:val="20"/>
              </w:rPr>
            </w:pPr>
          </w:p>
        </w:tc>
        <w:tc>
          <w:tcPr>
            <w:tcW w:w="3787" w:type="dxa"/>
            <w:gridSpan w:val="10"/>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3322" w:type="dxa"/>
            <w:gridSpan w:val="6"/>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904" w:type="dxa"/>
            <w:gridSpan w:val="8"/>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216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83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54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96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r>
      <w:tr w:rsidR="00116C7F" w:rsidRPr="00116C7F" w:rsidTr="006A67FD">
        <w:trPr>
          <w:gridBefore w:val="3"/>
          <w:gridAfter w:val="3"/>
          <w:wBefore w:w="534" w:type="dxa"/>
          <w:wAfter w:w="1792" w:type="dxa"/>
          <w:trHeight w:val="300"/>
        </w:trPr>
        <w:tc>
          <w:tcPr>
            <w:tcW w:w="6420" w:type="dxa"/>
            <w:gridSpan w:val="14"/>
            <w:tcBorders>
              <w:top w:val="nil"/>
              <w:left w:val="nil"/>
              <w:bottom w:val="nil"/>
              <w:right w:val="nil"/>
            </w:tcBorders>
            <w:shd w:val="clear" w:color="auto" w:fill="auto"/>
            <w:noWrap/>
            <w:vAlign w:val="bottom"/>
            <w:hideMark/>
          </w:tcPr>
          <w:p w:rsidR="00116C7F" w:rsidRPr="00EB62EA" w:rsidRDefault="00116C7F" w:rsidP="006A67FD">
            <w:pPr>
              <w:spacing w:after="0" w:line="240" w:lineRule="auto"/>
              <w:rPr>
                <w:rFonts w:ascii="Cambria" w:eastAsia="Times New Roman" w:hAnsi="Cambria" w:cs="Times New Roman"/>
                <w:b/>
                <w:bCs/>
                <w:color w:val="000000"/>
                <w:sz w:val="24"/>
                <w:szCs w:val="24"/>
              </w:rPr>
            </w:pPr>
            <w:r w:rsidRPr="00EB62EA">
              <w:rPr>
                <w:rFonts w:ascii="Cambria" w:eastAsia="Times New Roman" w:hAnsi="Cambria" w:cs="Times New Roman"/>
                <w:b/>
                <w:bCs/>
                <w:color w:val="000000"/>
                <w:sz w:val="24"/>
                <w:szCs w:val="24"/>
              </w:rPr>
              <w:lastRenderedPageBreak/>
              <w:t>As Percentage of Total Tax Revenues</w:t>
            </w:r>
          </w:p>
        </w:tc>
        <w:tc>
          <w:tcPr>
            <w:tcW w:w="3322" w:type="dxa"/>
            <w:gridSpan w:val="6"/>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904" w:type="dxa"/>
            <w:gridSpan w:val="8"/>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216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83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1540"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c>
          <w:tcPr>
            <w:tcW w:w="969"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p>
        </w:tc>
      </w:tr>
      <w:tr w:rsidR="00116C7F" w:rsidRPr="00116C7F" w:rsidTr="006A67FD">
        <w:trPr>
          <w:gridBefore w:val="3"/>
          <w:gridAfter w:val="13"/>
          <w:wBefore w:w="534" w:type="dxa"/>
          <w:wAfter w:w="8993" w:type="dxa"/>
          <w:trHeight w:val="585"/>
        </w:trPr>
        <w:tc>
          <w:tcPr>
            <w:tcW w:w="26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Item</w:t>
            </w:r>
          </w:p>
        </w:tc>
        <w:tc>
          <w:tcPr>
            <w:tcW w:w="1194" w:type="dxa"/>
            <w:gridSpan w:val="2"/>
            <w:tcBorders>
              <w:top w:val="single" w:sz="8" w:space="0" w:color="auto"/>
              <w:left w:val="nil"/>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2007</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2008</w:t>
            </w:r>
          </w:p>
        </w:tc>
        <w:tc>
          <w:tcPr>
            <w:tcW w:w="1134" w:type="dxa"/>
            <w:gridSpan w:val="4"/>
            <w:tcBorders>
              <w:top w:val="single" w:sz="8" w:space="0" w:color="auto"/>
              <w:left w:val="single" w:sz="4"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2009</w:t>
            </w: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2010</w:t>
            </w:r>
          </w:p>
        </w:tc>
        <w:tc>
          <w:tcPr>
            <w:tcW w:w="1309" w:type="dxa"/>
            <w:gridSpan w:val="2"/>
            <w:tcBorders>
              <w:top w:val="single" w:sz="8" w:space="0" w:color="auto"/>
              <w:left w:val="single" w:sz="4"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2011</w:t>
            </w:r>
          </w:p>
        </w:tc>
        <w:tc>
          <w:tcPr>
            <w:tcW w:w="1021" w:type="dxa"/>
            <w:gridSpan w:val="2"/>
            <w:tcBorders>
              <w:top w:val="single" w:sz="8" w:space="0" w:color="auto"/>
              <w:left w:val="single" w:sz="8"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2012</w:t>
            </w:r>
          </w:p>
        </w:tc>
        <w:tc>
          <w:tcPr>
            <w:tcW w:w="969" w:type="dxa"/>
            <w:gridSpan w:val="5"/>
            <w:tcBorders>
              <w:top w:val="single" w:sz="8" w:space="0" w:color="auto"/>
              <w:left w:val="single" w:sz="8" w:space="0" w:color="auto"/>
              <w:bottom w:val="single" w:sz="8" w:space="0" w:color="auto"/>
              <w:right w:val="single" w:sz="8" w:space="0" w:color="auto"/>
            </w:tcBorders>
            <w:shd w:val="clear" w:color="000000" w:fill="D8D8D8"/>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5- year Average</w:t>
            </w:r>
          </w:p>
        </w:tc>
      </w:tr>
      <w:tr w:rsidR="00116C7F" w:rsidRPr="00116C7F" w:rsidTr="006A67FD">
        <w:trPr>
          <w:gridBefore w:val="3"/>
          <w:gridAfter w:val="13"/>
          <w:wBefore w:w="534" w:type="dxa"/>
          <w:wAfter w:w="8993" w:type="dxa"/>
          <w:trHeight w:val="285"/>
        </w:trPr>
        <w:tc>
          <w:tcPr>
            <w:tcW w:w="2633"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Profit Tax on Free Professions</w:t>
            </w:r>
          </w:p>
        </w:tc>
        <w:tc>
          <w:tcPr>
            <w:tcW w:w="1194" w:type="dxa"/>
            <w:gridSpan w:val="2"/>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10.9%</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11.8%</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10.9%</w:t>
            </w:r>
          </w:p>
        </w:tc>
        <w:tc>
          <w:tcPr>
            <w:tcW w:w="1417"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10.2%</w:t>
            </w:r>
          </w:p>
        </w:tc>
        <w:tc>
          <w:tcPr>
            <w:tcW w:w="1309" w:type="dxa"/>
            <w:gridSpan w:val="2"/>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11.1%</w:t>
            </w:r>
          </w:p>
        </w:tc>
        <w:tc>
          <w:tcPr>
            <w:tcW w:w="1021" w:type="dxa"/>
            <w:gridSpan w:val="2"/>
            <w:tcBorders>
              <w:top w:val="nil"/>
              <w:left w:val="single" w:sz="8"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8.4%</w:t>
            </w:r>
          </w:p>
        </w:tc>
        <w:tc>
          <w:tcPr>
            <w:tcW w:w="969"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10.5%</w:t>
            </w:r>
          </w:p>
        </w:tc>
      </w:tr>
      <w:tr w:rsidR="00116C7F" w:rsidRPr="00116C7F" w:rsidTr="006A67FD">
        <w:trPr>
          <w:gridBefore w:val="3"/>
          <w:gridAfter w:val="13"/>
          <w:wBefore w:w="534" w:type="dxa"/>
          <w:wAfter w:w="8993" w:type="dxa"/>
          <w:trHeight w:val="285"/>
        </w:trPr>
        <w:tc>
          <w:tcPr>
            <w:tcW w:w="2633"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Property Ownership Transfer Fee</w:t>
            </w:r>
          </w:p>
        </w:tc>
        <w:tc>
          <w:tcPr>
            <w:tcW w:w="1194" w:type="dxa"/>
            <w:gridSpan w:val="2"/>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417"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309" w:type="dxa"/>
            <w:gridSpan w:val="2"/>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021" w:type="dxa"/>
            <w:gridSpan w:val="2"/>
            <w:tcBorders>
              <w:top w:val="nil"/>
              <w:left w:val="single" w:sz="8"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969"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r>
      <w:tr w:rsidR="00116C7F" w:rsidRPr="00116C7F" w:rsidTr="006A67FD">
        <w:trPr>
          <w:gridBefore w:val="3"/>
          <w:gridAfter w:val="13"/>
          <w:wBefore w:w="534" w:type="dxa"/>
          <w:wAfter w:w="8993" w:type="dxa"/>
          <w:trHeight w:val="285"/>
        </w:trPr>
        <w:tc>
          <w:tcPr>
            <w:tcW w:w="2633"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Sales Tax on Entertainment tickets</w:t>
            </w:r>
          </w:p>
        </w:tc>
        <w:tc>
          <w:tcPr>
            <w:tcW w:w="1194" w:type="dxa"/>
            <w:gridSpan w:val="2"/>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0.3%</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0.3%</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0.4%</w:t>
            </w:r>
          </w:p>
        </w:tc>
        <w:tc>
          <w:tcPr>
            <w:tcW w:w="1417"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0.3%</w:t>
            </w:r>
          </w:p>
        </w:tc>
        <w:tc>
          <w:tcPr>
            <w:tcW w:w="1309" w:type="dxa"/>
            <w:gridSpan w:val="2"/>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0.2%</w:t>
            </w:r>
          </w:p>
        </w:tc>
        <w:tc>
          <w:tcPr>
            <w:tcW w:w="1021" w:type="dxa"/>
            <w:gridSpan w:val="2"/>
            <w:tcBorders>
              <w:top w:val="nil"/>
              <w:left w:val="single" w:sz="8"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0.5%</w:t>
            </w:r>
          </w:p>
        </w:tc>
        <w:tc>
          <w:tcPr>
            <w:tcW w:w="969"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0.3%</w:t>
            </w:r>
          </w:p>
        </w:tc>
      </w:tr>
      <w:tr w:rsidR="00116C7F" w:rsidRPr="00116C7F" w:rsidTr="006A67FD">
        <w:trPr>
          <w:gridBefore w:val="3"/>
          <w:gridAfter w:val="13"/>
          <w:wBefore w:w="534" w:type="dxa"/>
          <w:wAfter w:w="8993" w:type="dxa"/>
          <w:trHeight w:val="285"/>
        </w:trPr>
        <w:tc>
          <w:tcPr>
            <w:tcW w:w="2633"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Fees license on different professions</w:t>
            </w:r>
          </w:p>
        </w:tc>
        <w:tc>
          <w:tcPr>
            <w:tcW w:w="1194" w:type="dxa"/>
            <w:gridSpan w:val="2"/>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417"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309" w:type="dxa"/>
            <w:gridSpan w:val="2"/>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021" w:type="dxa"/>
            <w:gridSpan w:val="2"/>
            <w:tcBorders>
              <w:top w:val="nil"/>
              <w:left w:val="single" w:sz="8"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969"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r>
      <w:tr w:rsidR="00116C7F" w:rsidRPr="00116C7F" w:rsidTr="006A67FD">
        <w:trPr>
          <w:gridBefore w:val="3"/>
          <w:gridAfter w:val="13"/>
          <w:wBefore w:w="534" w:type="dxa"/>
          <w:wAfter w:w="8993" w:type="dxa"/>
          <w:trHeight w:val="285"/>
        </w:trPr>
        <w:tc>
          <w:tcPr>
            <w:tcW w:w="2633"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Local fines and Confiscations</w:t>
            </w:r>
          </w:p>
        </w:tc>
        <w:tc>
          <w:tcPr>
            <w:tcW w:w="1194" w:type="dxa"/>
            <w:gridSpan w:val="2"/>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0.1%</w:t>
            </w:r>
          </w:p>
        </w:tc>
        <w:tc>
          <w:tcPr>
            <w:tcW w:w="1417"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309" w:type="dxa"/>
            <w:gridSpan w:val="2"/>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021" w:type="dxa"/>
            <w:gridSpan w:val="2"/>
            <w:tcBorders>
              <w:top w:val="nil"/>
              <w:left w:val="single" w:sz="8"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969"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r>
      <w:tr w:rsidR="00116C7F" w:rsidRPr="00116C7F" w:rsidTr="006A67FD">
        <w:trPr>
          <w:gridBefore w:val="3"/>
          <w:gridAfter w:val="13"/>
          <w:wBefore w:w="534" w:type="dxa"/>
          <w:wAfter w:w="8993" w:type="dxa"/>
          <w:trHeight w:val="300"/>
        </w:trPr>
        <w:tc>
          <w:tcPr>
            <w:tcW w:w="2633" w:type="dxa"/>
            <w:gridSpan w:val="4"/>
            <w:tcBorders>
              <w:top w:val="nil"/>
              <w:left w:val="single" w:sz="8" w:space="0" w:color="auto"/>
              <w:bottom w:val="nil"/>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Revenue from Sanctions</w:t>
            </w:r>
          </w:p>
        </w:tc>
        <w:tc>
          <w:tcPr>
            <w:tcW w:w="1194"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276" w:type="dxa"/>
            <w:gridSpan w:val="3"/>
            <w:tcBorders>
              <w:top w:val="nil"/>
              <w:left w:val="single" w:sz="8" w:space="0" w:color="auto"/>
              <w:bottom w:val="nil"/>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0.1%</w:t>
            </w:r>
          </w:p>
        </w:tc>
        <w:tc>
          <w:tcPr>
            <w:tcW w:w="1134" w:type="dxa"/>
            <w:gridSpan w:val="4"/>
            <w:tcBorders>
              <w:top w:val="nil"/>
              <w:left w:val="single" w:sz="4" w:space="0" w:color="auto"/>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417" w:type="dxa"/>
            <w:gridSpan w:val="4"/>
            <w:tcBorders>
              <w:top w:val="nil"/>
              <w:left w:val="single" w:sz="8" w:space="0" w:color="auto"/>
              <w:bottom w:val="nil"/>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309" w:type="dxa"/>
            <w:gridSpan w:val="2"/>
            <w:tcBorders>
              <w:top w:val="nil"/>
              <w:left w:val="single" w:sz="4" w:space="0" w:color="auto"/>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021" w:type="dxa"/>
            <w:gridSpan w:val="2"/>
            <w:tcBorders>
              <w:top w:val="nil"/>
              <w:left w:val="single" w:sz="8" w:space="0" w:color="auto"/>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969" w:type="dxa"/>
            <w:gridSpan w:val="5"/>
            <w:tcBorders>
              <w:top w:val="nil"/>
              <w:left w:val="single" w:sz="4" w:space="0" w:color="auto"/>
              <w:bottom w:val="nil"/>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r>
      <w:tr w:rsidR="00116C7F" w:rsidRPr="00116C7F" w:rsidTr="006A67FD">
        <w:trPr>
          <w:gridBefore w:val="3"/>
          <w:gridAfter w:val="13"/>
          <w:wBefore w:w="534" w:type="dxa"/>
          <w:wAfter w:w="8993" w:type="dxa"/>
          <w:trHeight w:val="300"/>
        </w:trPr>
        <w:tc>
          <w:tcPr>
            <w:tcW w:w="2633"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Total Local Revenues</w:t>
            </w:r>
          </w:p>
        </w:tc>
        <w:tc>
          <w:tcPr>
            <w:tcW w:w="1194" w:type="dxa"/>
            <w:gridSpan w:val="2"/>
            <w:tcBorders>
              <w:top w:val="single" w:sz="8" w:space="0" w:color="auto"/>
              <w:left w:val="nil"/>
              <w:bottom w:val="single" w:sz="8"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11.2%</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12.2%</w:t>
            </w:r>
          </w:p>
        </w:tc>
        <w:tc>
          <w:tcPr>
            <w:tcW w:w="1134" w:type="dxa"/>
            <w:gridSpan w:val="4"/>
            <w:tcBorders>
              <w:top w:val="single" w:sz="8" w:space="0" w:color="auto"/>
              <w:left w:val="single" w:sz="4"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11.4%</w:t>
            </w: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10.6%</w:t>
            </w:r>
          </w:p>
        </w:tc>
        <w:tc>
          <w:tcPr>
            <w:tcW w:w="1309" w:type="dxa"/>
            <w:gridSpan w:val="2"/>
            <w:tcBorders>
              <w:top w:val="single" w:sz="8" w:space="0" w:color="auto"/>
              <w:left w:val="single" w:sz="4"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11.4%</w:t>
            </w:r>
          </w:p>
        </w:tc>
        <w:tc>
          <w:tcPr>
            <w:tcW w:w="1021" w:type="dxa"/>
            <w:gridSpan w:val="2"/>
            <w:tcBorders>
              <w:top w:val="single" w:sz="8" w:space="0" w:color="auto"/>
              <w:left w:val="single" w:sz="8"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8.9%</w:t>
            </w:r>
          </w:p>
        </w:tc>
        <w:tc>
          <w:tcPr>
            <w:tcW w:w="969" w:type="dxa"/>
            <w:gridSpan w:val="5"/>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10.9%</w:t>
            </w:r>
          </w:p>
        </w:tc>
      </w:tr>
      <w:tr w:rsidR="00116C7F" w:rsidRPr="00116C7F" w:rsidTr="006A67FD">
        <w:trPr>
          <w:gridBefore w:val="3"/>
          <w:gridAfter w:val="13"/>
          <w:wBefore w:w="534" w:type="dxa"/>
          <w:wAfter w:w="8993" w:type="dxa"/>
          <w:trHeight w:val="285"/>
        </w:trPr>
        <w:tc>
          <w:tcPr>
            <w:tcW w:w="2633"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Earning Tax on Free Professions</w:t>
            </w:r>
          </w:p>
        </w:tc>
        <w:tc>
          <w:tcPr>
            <w:tcW w:w="1194" w:type="dxa"/>
            <w:gridSpan w:val="2"/>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0.6%</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0.6%</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0.7%</w:t>
            </w:r>
          </w:p>
        </w:tc>
        <w:tc>
          <w:tcPr>
            <w:tcW w:w="1417"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0.8%</w:t>
            </w:r>
          </w:p>
        </w:tc>
        <w:tc>
          <w:tcPr>
            <w:tcW w:w="1309" w:type="dxa"/>
            <w:gridSpan w:val="2"/>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0.7%</w:t>
            </w:r>
          </w:p>
        </w:tc>
        <w:tc>
          <w:tcPr>
            <w:tcW w:w="1021" w:type="dxa"/>
            <w:gridSpan w:val="2"/>
            <w:tcBorders>
              <w:top w:val="nil"/>
              <w:left w:val="single" w:sz="8"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0.7%</w:t>
            </w:r>
          </w:p>
        </w:tc>
        <w:tc>
          <w:tcPr>
            <w:tcW w:w="969"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0.7%</w:t>
            </w:r>
          </w:p>
        </w:tc>
      </w:tr>
      <w:tr w:rsidR="00116C7F" w:rsidRPr="00116C7F" w:rsidTr="006A67FD">
        <w:trPr>
          <w:gridBefore w:val="3"/>
          <w:gridAfter w:val="13"/>
          <w:wBefore w:w="534" w:type="dxa"/>
          <w:wAfter w:w="8993" w:type="dxa"/>
          <w:trHeight w:val="285"/>
        </w:trPr>
        <w:tc>
          <w:tcPr>
            <w:tcW w:w="2633"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222222"/>
                <w:sz w:val="20"/>
                <w:szCs w:val="20"/>
              </w:rPr>
            </w:pPr>
            <w:r w:rsidRPr="00116C7F">
              <w:rPr>
                <w:rFonts w:ascii="Cambria" w:eastAsia="Times New Roman" w:hAnsi="Cambria" w:cs="Times New Roman"/>
                <w:b/>
                <w:bCs/>
                <w:color w:val="222222"/>
                <w:sz w:val="20"/>
                <w:szCs w:val="20"/>
              </w:rPr>
              <w:t>Tax on the proceeds of real estate</w:t>
            </w:r>
          </w:p>
        </w:tc>
        <w:tc>
          <w:tcPr>
            <w:tcW w:w="1194" w:type="dxa"/>
            <w:gridSpan w:val="2"/>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22.5%</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24.2%</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26.5%</w:t>
            </w:r>
          </w:p>
        </w:tc>
        <w:tc>
          <w:tcPr>
            <w:tcW w:w="1417"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27.5%</w:t>
            </w:r>
          </w:p>
        </w:tc>
        <w:tc>
          <w:tcPr>
            <w:tcW w:w="1309" w:type="dxa"/>
            <w:gridSpan w:val="2"/>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29.1%</w:t>
            </w:r>
          </w:p>
        </w:tc>
        <w:tc>
          <w:tcPr>
            <w:tcW w:w="1021" w:type="dxa"/>
            <w:gridSpan w:val="2"/>
            <w:tcBorders>
              <w:top w:val="nil"/>
              <w:left w:val="single" w:sz="8"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30.0%</w:t>
            </w:r>
          </w:p>
        </w:tc>
        <w:tc>
          <w:tcPr>
            <w:tcW w:w="969"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26.6%</w:t>
            </w:r>
          </w:p>
        </w:tc>
      </w:tr>
      <w:tr w:rsidR="00116C7F" w:rsidRPr="00116C7F" w:rsidTr="006A67FD">
        <w:trPr>
          <w:gridBefore w:val="3"/>
          <w:gridAfter w:val="13"/>
          <w:wBefore w:w="534" w:type="dxa"/>
          <w:wAfter w:w="8993" w:type="dxa"/>
          <w:trHeight w:val="285"/>
        </w:trPr>
        <w:tc>
          <w:tcPr>
            <w:tcW w:w="2633"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Qat Sales Tax</w:t>
            </w:r>
          </w:p>
        </w:tc>
        <w:tc>
          <w:tcPr>
            <w:tcW w:w="1194" w:type="dxa"/>
            <w:gridSpan w:val="2"/>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65.6%</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62.8%</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61.2%</w:t>
            </w:r>
          </w:p>
        </w:tc>
        <w:tc>
          <w:tcPr>
            <w:tcW w:w="1417"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60.8%</w:t>
            </w:r>
          </w:p>
        </w:tc>
        <w:tc>
          <w:tcPr>
            <w:tcW w:w="1309" w:type="dxa"/>
            <w:gridSpan w:val="2"/>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58.7%</w:t>
            </w:r>
          </w:p>
        </w:tc>
        <w:tc>
          <w:tcPr>
            <w:tcW w:w="1021" w:type="dxa"/>
            <w:gridSpan w:val="2"/>
            <w:tcBorders>
              <w:top w:val="nil"/>
              <w:left w:val="single" w:sz="8"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59.9%</w:t>
            </w:r>
          </w:p>
        </w:tc>
        <w:tc>
          <w:tcPr>
            <w:tcW w:w="969"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61.5%</w:t>
            </w:r>
          </w:p>
        </w:tc>
      </w:tr>
      <w:tr w:rsidR="00116C7F" w:rsidRPr="00116C7F" w:rsidTr="006A67FD">
        <w:trPr>
          <w:gridBefore w:val="3"/>
          <w:gridAfter w:val="13"/>
          <w:wBefore w:w="534" w:type="dxa"/>
          <w:wAfter w:w="8993" w:type="dxa"/>
          <w:trHeight w:val="285"/>
        </w:trPr>
        <w:tc>
          <w:tcPr>
            <w:tcW w:w="2633" w:type="dxa"/>
            <w:gridSpan w:val="4"/>
            <w:tcBorders>
              <w:top w:val="nil"/>
              <w:left w:val="single" w:sz="8" w:space="0" w:color="auto"/>
              <w:bottom w:val="single" w:sz="4"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Joint fines and Confiscations</w:t>
            </w:r>
          </w:p>
        </w:tc>
        <w:tc>
          <w:tcPr>
            <w:tcW w:w="1194" w:type="dxa"/>
            <w:gridSpan w:val="2"/>
            <w:tcBorders>
              <w:top w:val="nil"/>
              <w:left w:val="nil"/>
              <w:bottom w:val="single" w:sz="4"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0.1%</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0.2%</w:t>
            </w:r>
          </w:p>
        </w:tc>
        <w:tc>
          <w:tcPr>
            <w:tcW w:w="1134" w:type="dxa"/>
            <w:gridSpan w:val="4"/>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0.2%</w:t>
            </w:r>
          </w:p>
        </w:tc>
        <w:tc>
          <w:tcPr>
            <w:tcW w:w="1417" w:type="dxa"/>
            <w:gridSpan w:val="4"/>
            <w:tcBorders>
              <w:top w:val="nil"/>
              <w:left w:val="single" w:sz="8" w:space="0" w:color="auto"/>
              <w:bottom w:val="single" w:sz="4"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0.3%</w:t>
            </w:r>
          </w:p>
        </w:tc>
        <w:tc>
          <w:tcPr>
            <w:tcW w:w="1309" w:type="dxa"/>
            <w:gridSpan w:val="2"/>
            <w:tcBorders>
              <w:top w:val="nil"/>
              <w:left w:val="single" w:sz="4"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0.2%</w:t>
            </w:r>
          </w:p>
        </w:tc>
        <w:tc>
          <w:tcPr>
            <w:tcW w:w="1021" w:type="dxa"/>
            <w:gridSpan w:val="2"/>
            <w:tcBorders>
              <w:top w:val="nil"/>
              <w:left w:val="single" w:sz="8" w:space="0" w:color="auto"/>
              <w:bottom w:val="single" w:sz="4"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0.5%</w:t>
            </w:r>
          </w:p>
        </w:tc>
        <w:tc>
          <w:tcPr>
            <w:tcW w:w="969"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0.2%</w:t>
            </w:r>
          </w:p>
        </w:tc>
      </w:tr>
      <w:tr w:rsidR="00116C7F" w:rsidRPr="00116C7F" w:rsidTr="006A67FD">
        <w:trPr>
          <w:gridBefore w:val="3"/>
          <w:gridAfter w:val="13"/>
          <w:wBefore w:w="534" w:type="dxa"/>
          <w:wAfter w:w="8993" w:type="dxa"/>
          <w:trHeight w:val="300"/>
        </w:trPr>
        <w:tc>
          <w:tcPr>
            <w:tcW w:w="2633" w:type="dxa"/>
            <w:gridSpan w:val="4"/>
            <w:tcBorders>
              <w:top w:val="nil"/>
              <w:left w:val="single" w:sz="8" w:space="0" w:color="auto"/>
              <w:bottom w:val="nil"/>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Other Fees</w:t>
            </w:r>
          </w:p>
        </w:tc>
        <w:tc>
          <w:tcPr>
            <w:tcW w:w="1194"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276" w:type="dxa"/>
            <w:gridSpan w:val="3"/>
            <w:tcBorders>
              <w:top w:val="nil"/>
              <w:left w:val="single" w:sz="8" w:space="0" w:color="auto"/>
              <w:bottom w:val="nil"/>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134" w:type="dxa"/>
            <w:gridSpan w:val="4"/>
            <w:tcBorders>
              <w:top w:val="nil"/>
              <w:left w:val="single" w:sz="4" w:space="0" w:color="auto"/>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417" w:type="dxa"/>
            <w:gridSpan w:val="4"/>
            <w:tcBorders>
              <w:top w:val="nil"/>
              <w:left w:val="single" w:sz="8" w:space="0" w:color="auto"/>
              <w:bottom w:val="nil"/>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309" w:type="dxa"/>
            <w:gridSpan w:val="2"/>
            <w:tcBorders>
              <w:top w:val="nil"/>
              <w:left w:val="single" w:sz="4" w:space="0" w:color="auto"/>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1021" w:type="dxa"/>
            <w:gridSpan w:val="2"/>
            <w:tcBorders>
              <w:top w:val="nil"/>
              <w:left w:val="single" w:sz="8" w:space="0" w:color="auto"/>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c>
          <w:tcPr>
            <w:tcW w:w="969" w:type="dxa"/>
            <w:gridSpan w:val="5"/>
            <w:tcBorders>
              <w:top w:val="nil"/>
              <w:left w:val="single" w:sz="4" w:space="0" w:color="auto"/>
              <w:bottom w:val="nil"/>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0.0%</w:t>
            </w:r>
          </w:p>
        </w:tc>
      </w:tr>
      <w:tr w:rsidR="00116C7F" w:rsidRPr="00116C7F" w:rsidTr="006A67FD">
        <w:trPr>
          <w:gridBefore w:val="3"/>
          <w:gridAfter w:val="13"/>
          <w:wBefore w:w="534" w:type="dxa"/>
          <w:wAfter w:w="8993" w:type="dxa"/>
          <w:trHeight w:val="300"/>
        </w:trPr>
        <w:tc>
          <w:tcPr>
            <w:tcW w:w="2633"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Total Joint Revenues</w:t>
            </w:r>
          </w:p>
        </w:tc>
        <w:tc>
          <w:tcPr>
            <w:tcW w:w="1194" w:type="dxa"/>
            <w:gridSpan w:val="2"/>
            <w:tcBorders>
              <w:top w:val="single" w:sz="8" w:space="0" w:color="auto"/>
              <w:left w:val="nil"/>
              <w:bottom w:val="single" w:sz="8"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88.8%</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87.8%</w:t>
            </w:r>
          </w:p>
        </w:tc>
        <w:tc>
          <w:tcPr>
            <w:tcW w:w="1134" w:type="dxa"/>
            <w:gridSpan w:val="4"/>
            <w:tcBorders>
              <w:top w:val="single" w:sz="8" w:space="0" w:color="auto"/>
              <w:left w:val="single" w:sz="4"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88.6%</w:t>
            </w: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89.4%</w:t>
            </w:r>
          </w:p>
        </w:tc>
        <w:tc>
          <w:tcPr>
            <w:tcW w:w="1309" w:type="dxa"/>
            <w:gridSpan w:val="2"/>
            <w:tcBorders>
              <w:top w:val="single" w:sz="8" w:space="0" w:color="auto"/>
              <w:left w:val="single" w:sz="4"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88.6%</w:t>
            </w:r>
          </w:p>
        </w:tc>
        <w:tc>
          <w:tcPr>
            <w:tcW w:w="1021" w:type="dxa"/>
            <w:gridSpan w:val="2"/>
            <w:tcBorders>
              <w:top w:val="single" w:sz="8" w:space="0" w:color="auto"/>
              <w:left w:val="single" w:sz="8"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91.1%</w:t>
            </w:r>
          </w:p>
        </w:tc>
        <w:tc>
          <w:tcPr>
            <w:tcW w:w="969" w:type="dxa"/>
            <w:gridSpan w:val="5"/>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89.1%</w:t>
            </w:r>
          </w:p>
        </w:tc>
      </w:tr>
      <w:tr w:rsidR="00116C7F" w:rsidRPr="00116C7F" w:rsidTr="006A67FD">
        <w:trPr>
          <w:gridBefore w:val="3"/>
          <w:gridAfter w:val="13"/>
          <w:wBefore w:w="534" w:type="dxa"/>
          <w:wAfter w:w="8993" w:type="dxa"/>
          <w:trHeight w:val="300"/>
        </w:trPr>
        <w:tc>
          <w:tcPr>
            <w:tcW w:w="2633" w:type="dxa"/>
            <w:gridSpan w:val="4"/>
            <w:tcBorders>
              <w:top w:val="nil"/>
              <w:left w:val="single" w:sz="8" w:space="0" w:color="auto"/>
              <w:bottom w:val="nil"/>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 </w:t>
            </w:r>
          </w:p>
        </w:tc>
        <w:tc>
          <w:tcPr>
            <w:tcW w:w="1194" w:type="dxa"/>
            <w:gridSpan w:val="2"/>
            <w:tcBorders>
              <w:top w:val="nil"/>
              <w:left w:val="nil"/>
              <w:bottom w:val="nil"/>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p>
        </w:tc>
        <w:tc>
          <w:tcPr>
            <w:tcW w:w="1276" w:type="dxa"/>
            <w:gridSpan w:val="3"/>
            <w:tcBorders>
              <w:top w:val="nil"/>
              <w:left w:val="single" w:sz="8" w:space="0" w:color="auto"/>
              <w:bottom w:val="nil"/>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 </w:t>
            </w:r>
          </w:p>
        </w:tc>
        <w:tc>
          <w:tcPr>
            <w:tcW w:w="1134" w:type="dxa"/>
            <w:gridSpan w:val="4"/>
            <w:tcBorders>
              <w:top w:val="nil"/>
              <w:left w:val="single" w:sz="4" w:space="0" w:color="auto"/>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 </w:t>
            </w:r>
          </w:p>
        </w:tc>
        <w:tc>
          <w:tcPr>
            <w:tcW w:w="1417" w:type="dxa"/>
            <w:gridSpan w:val="4"/>
            <w:tcBorders>
              <w:top w:val="nil"/>
              <w:left w:val="single" w:sz="8" w:space="0" w:color="auto"/>
              <w:bottom w:val="nil"/>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 </w:t>
            </w:r>
          </w:p>
        </w:tc>
        <w:tc>
          <w:tcPr>
            <w:tcW w:w="1309" w:type="dxa"/>
            <w:gridSpan w:val="2"/>
            <w:tcBorders>
              <w:top w:val="nil"/>
              <w:left w:val="single" w:sz="4" w:space="0" w:color="auto"/>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 </w:t>
            </w:r>
          </w:p>
        </w:tc>
        <w:tc>
          <w:tcPr>
            <w:tcW w:w="1021" w:type="dxa"/>
            <w:gridSpan w:val="2"/>
            <w:tcBorders>
              <w:top w:val="nil"/>
              <w:left w:val="single" w:sz="8" w:space="0" w:color="auto"/>
              <w:bottom w:val="nil"/>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 </w:t>
            </w:r>
          </w:p>
        </w:tc>
        <w:tc>
          <w:tcPr>
            <w:tcW w:w="969" w:type="dxa"/>
            <w:gridSpan w:val="5"/>
            <w:tcBorders>
              <w:top w:val="nil"/>
              <w:left w:val="single" w:sz="4" w:space="0" w:color="auto"/>
              <w:bottom w:val="nil"/>
              <w:right w:val="single" w:sz="4"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color w:val="000000"/>
                <w:sz w:val="20"/>
                <w:szCs w:val="20"/>
              </w:rPr>
            </w:pPr>
            <w:r w:rsidRPr="00116C7F">
              <w:rPr>
                <w:rFonts w:ascii="Cambria" w:eastAsia="Times New Roman" w:hAnsi="Cambria" w:cs="Times New Roman"/>
                <w:color w:val="000000"/>
                <w:sz w:val="20"/>
                <w:szCs w:val="20"/>
              </w:rPr>
              <w:t> </w:t>
            </w:r>
          </w:p>
        </w:tc>
      </w:tr>
      <w:tr w:rsidR="00116C7F" w:rsidRPr="00116C7F" w:rsidTr="006A67FD">
        <w:trPr>
          <w:gridBefore w:val="3"/>
          <w:gridAfter w:val="13"/>
          <w:wBefore w:w="534" w:type="dxa"/>
          <w:wAfter w:w="8993" w:type="dxa"/>
          <w:trHeight w:val="300"/>
        </w:trPr>
        <w:tc>
          <w:tcPr>
            <w:tcW w:w="2633"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6C7F" w:rsidRPr="00116C7F" w:rsidRDefault="00116C7F" w:rsidP="006A67FD">
            <w:pPr>
              <w:spacing w:after="0" w:line="240" w:lineRule="auto"/>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Total Local Tax Revenues</w:t>
            </w:r>
          </w:p>
        </w:tc>
        <w:tc>
          <w:tcPr>
            <w:tcW w:w="1194" w:type="dxa"/>
            <w:gridSpan w:val="2"/>
            <w:tcBorders>
              <w:top w:val="single" w:sz="8" w:space="0" w:color="auto"/>
              <w:left w:val="nil"/>
              <w:bottom w:val="single" w:sz="8" w:space="0" w:color="auto"/>
              <w:right w:val="nil"/>
            </w:tcBorders>
            <w:shd w:val="clear" w:color="auto" w:fill="auto"/>
            <w:noWrap/>
            <w:vAlign w:val="bottom"/>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100.0%</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100.0%</w:t>
            </w:r>
          </w:p>
        </w:tc>
        <w:tc>
          <w:tcPr>
            <w:tcW w:w="1134" w:type="dxa"/>
            <w:gridSpan w:val="4"/>
            <w:tcBorders>
              <w:top w:val="single" w:sz="8" w:space="0" w:color="auto"/>
              <w:left w:val="single" w:sz="4"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100.0%</w:t>
            </w:r>
          </w:p>
        </w:tc>
        <w:tc>
          <w:tcPr>
            <w:tcW w:w="1417"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100.0%</w:t>
            </w:r>
          </w:p>
        </w:tc>
        <w:tc>
          <w:tcPr>
            <w:tcW w:w="1309" w:type="dxa"/>
            <w:gridSpan w:val="2"/>
            <w:tcBorders>
              <w:top w:val="single" w:sz="8" w:space="0" w:color="auto"/>
              <w:left w:val="single" w:sz="4"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100.0%</w:t>
            </w:r>
          </w:p>
        </w:tc>
        <w:tc>
          <w:tcPr>
            <w:tcW w:w="1021" w:type="dxa"/>
            <w:gridSpan w:val="2"/>
            <w:tcBorders>
              <w:top w:val="single" w:sz="8" w:space="0" w:color="auto"/>
              <w:left w:val="single" w:sz="8" w:space="0" w:color="auto"/>
              <w:bottom w:val="single" w:sz="8" w:space="0" w:color="auto"/>
              <w:right w:val="nil"/>
            </w:tcBorders>
            <w:shd w:val="clear" w:color="auto" w:fill="auto"/>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100.0%</w:t>
            </w:r>
          </w:p>
        </w:tc>
        <w:tc>
          <w:tcPr>
            <w:tcW w:w="969" w:type="dxa"/>
            <w:gridSpan w:val="5"/>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116C7F" w:rsidRPr="00116C7F" w:rsidRDefault="00116C7F" w:rsidP="006A67FD">
            <w:pPr>
              <w:spacing w:after="0" w:line="240" w:lineRule="auto"/>
              <w:jc w:val="center"/>
              <w:rPr>
                <w:rFonts w:ascii="Cambria" w:eastAsia="Times New Roman" w:hAnsi="Cambria" w:cs="Times New Roman"/>
                <w:b/>
                <w:bCs/>
                <w:color w:val="000000"/>
                <w:sz w:val="20"/>
                <w:szCs w:val="20"/>
              </w:rPr>
            </w:pPr>
            <w:r w:rsidRPr="00116C7F">
              <w:rPr>
                <w:rFonts w:ascii="Cambria" w:eastAsia="Times New Roman" w:hAnsi="Cambria" w:cs="Times New Roman"/>
                <w:b/>
                <w:bCs/>
                <w:color w:val="000000"/>
                <w:sz w:val="20"/>
                <w:szCs w:val="20"/>
              </w:rPr>
              <w:t>100.0%</w:t>
            </w:r>
          </w:p>
        </w:tc>
      </w:tr>
    </w:tbl>
    <w:p w:rsidR="00916E83" w:rsidRDefault="00916E83">
      <w:pPr>
        <w:rPr>
          <w:rFonts w:asciiTheme="majorHAnsi" w:hAnsiTheme="majorHAnsi" w:cstheme="majorBidi"/>
          <w:sz w:val="24"/>
          <w:szCs w:val="24"/>
        </w:rPr>
      </w:pPr>
      <w:r>
        <w:rPr>
          <w:rFonts w:asciiTheme="majorHAnsi" w:hAnsiTheme="majorHAnsi" w:cstheme="majorBidi"/>
          <w:sz w:val="24"/>
          <w:szCs w:val="24"/>
        </w:rPr>
        <w:br w:type="page"/>
      </w:r>
    </w:p>
    <w:p w:rsidR="00BD67BE" w:rsidRDefault="00916E83" w:rsidP="00EB62EA">
      <w:pPr>
        <w:spacing w:line="480" w:lineRule="auto"/>
        <w:jc w:val="center"/>
        <w:rPr>
          <w:rFonts w:asciiTheme="majorHAnsi" w:hAnsiTheme="majorHAnsi" w:cstheme="majorBidi"/>
          <w:sz w:val="24"/>
          <w:szCs w:val="24"/>
        </w:rPr>
      </w:pPr>
      <w:r w:rsidRPr="0067181F">
        <w:rPr>
          <w:rFonts w:asciiTheme="majorHAnsi" w:hAnsiTheme="majorHAnsi" w:cstheme="majorBidi"/>
          <w:sz w:val="24"/>
          <w:szCs w:val="24"/>
        </w:rPr>
        <w:lastRenderedPageBreak/>
        <w:t>Reference</w:t>
      </w:r>
      <w:r w:rsidR="0067181F">
        <w:rPr>
          <w:rFonts w:asciiTheme="majorHAnsi" w:hAnsiTheme="majorHAnsi" w:cstheme="majorBidi"/>
          <w:sz w:val="24"/>
          <w:szCs w:val="24"/>
        </w:rPr>
        <w:t xml:space="preserve"> and Work Cited</w:t>
      </w:r>
    </w:p>
    <w:p w:rsidR="008E09F7" w:rsidRDefault="008E09F7" w:rsidP="008E09F7">
      <w:pPr>
        <w:spacing w:line="480" w:lineRule="auto"/>
        <w:ind w:left="720" w:hanging="720"/>
        <w:rPr>
          <w:rFonts w:asciiTheme="majorHAnsi" w:eastAsia="Times New Roman" w:hAnsiTheme="majorHAnsi"/>
          <w:sz w:val="24"/>
          <w:szCs w:val="24"/>
        </w:rPr>
      </w:pPr>
      <w:r w:rsidRPr="0067181F">
        <w:rPr>
          <w:rFonts w:asciiTheme="majorHAnsi" w:eastAsia="Times New Roman" w:hAnsiTheme="majorHAnsi"/>
          <w:sz w:val="24"/>
          <w:szCs w:val="24"/>
        </w:rPr>
        <w:t xml:space="preserve">Central Bank of Yemen. (2013). </w:t>
      </w:r>
      <w:r w:rsidRPr="0067181F">
        <w:rPr>
          <w:rFonts w:asciiTheme="majorHAnsi" w:eastAsia="Times New Roman" w:hAnsiTheme="majorHAnsi"/>
          <w:i/>
          <w:iCs/>
          <w:sz w:val="24"/>
          <w:szCs w:val="24"/>
        </w:rPr>
        <w:t>Review of monetary and banking developments: January 2013.</w:t>
      </w:r>
      <w:r w:rsidRPr="0067181F">
        <w:rPr>
          <w:rFonts w:asciiTheme="majorHAnsi" w:eastAsia="Times New Roman" w:hAnsiTheme="majorHAnsi"/>
          <w:sz w:val="24"/>
          <w:szCs w:val="24"/>
        </w:rPr>
        <w:t xml:space="preserve"> Sana'a, Yemen: Yemen's Modern Prints</w:t>
      </w:r>
    </w:p>
    <w:p w:rsidR="00DD5AF1" w:rsidRPr="0067181F" w:rsidRDefault="00DD5AF1" w:rsidP="008E09F7">
      <w:pPr>
        <w:spacing w:line="480" w:lineRule="auto"/>
        <w:ind w:left="720" w:hanging="720"/>
        <w:rPr>
          <w:rFonts w:asciiTheme="majorHAnsi" w:eastAsia="Times New Roman" w:hAnsiTheme="majorHAnsi"/>
          <w:sz w:val="24"/>
          <w:szCs w:val="24"/>
        </w:rPr>
      </w:pPr>
      <w:r>
        <w:rPr>
          <w:rFonts w:asciiTheme="majorHAnsi" w:eastAsia="Times New Roman" w:hAnsiTheme="majorHAnsi"/>
          <w:sz w:val="24"/>
          <w:szCs w:val="24"/>
        </w:rPr>
        <w:t>Interviews from the Ministry of Finance, Oil and Planning &amp; International Cooperation.</w:t>
      </w:r>
    </w:p>
    <w:p w:rsidR="0067181F" w:rsidRPr="0067181F" w:rsidRDefault="0067181F" w:rsidP="008E09F7">
      <w:pPr>
        <w:spacing w:line="480" w:lineRule="auto"/>
        <w:ind w:left="720" w:hanging="720"/>
        <w:rPr>
          <w:rFonts w:asciiTheme="majorHAnsi" w:eastAsia="Times New Roman" w:hAnsiTheme="majorHAnsi"/>
          <w:iCs/>
          <w:sz w:val="24"/>
          <w:szCs w:val="24"/>
        </w:rPr>
      </w:pPr>
      <w:r w:rsidRPr="0067181F">
        <w:rPr>
          <w:rFonts w:asciiTheme="majorHAnsi" w:hAnsiTheme="majorHAnsi"/>
          <w:color w:val="000000" w:themeColor="text1"/>
          <w:sz w:val="24"/>
          <w:szCs w:val="24"/>
        </w:rPr>
        <w:t xml:space="preserve">World Bank (2010), </w:t>
      </w:r>
      <w:r w:rsidRPr="0067181F">
        <w:rPr>
          <w:rFonts w:asciiTheme="majorHAnsi" w:hAnsiTheme="majorHAnsi"/>
          <w:i/>
          <w:iCs/>
          <w:color w:val="000000" w:themeColor="text1"/>
          <w:sz w:val="24"/>
          <w:szCs w:val="24"/>
        </w:rPr>
        <w:t>Yemen's Central Financing Agency Report.</w:t>
      </w:r>
    </w:p>
    <w:p w:rsidR="008E09F7" w:rsidRPr="0067181F" w:rsidRDefault="008E09F7" w:rsidP="00642593">
      <w:pPr>
        <w:spacing w:line="480" w:lineRule="auto"/>
        <w:ind w:left="720" w:hanging="720"/>
        <w:rPr>
          <w:rFonts w:asciiTheme="majorHAnsi" w:eastAsia="Times New Roman" w:hAnsiTheme="majorHAnsi"/>
          <w:iCs/>
          <w:sz w:val="24"/>
          <w:szCs w:val="24"/>
        </w:rPr>
      </w:pPr>
      <w:r w:rsidRPr="0067181F">
        <w:rPr>
          <w:rFonts w:asciiTheme="majorHAnsi" w:eastAsia="Times New Roman" w:hAnsiTheme="majorHAnsi"/>
          <w:iCs/>
          <w:sz w:val="24"/>
          <w:szCs w:val="24"/>
        </w:rPr>
        <w:t>Yemeni Central Statistical Organization. (201</w:t>
      </w:r>
      <w:r w:rsidR="00642593">
        <w:rPr>
          <w:rFonts w:asciiTheme="majorHAnsi" w:eastAsia="Times New Roman" w:hAnsiTheme="majorHAnsi"/>
          <w:iCs/>
          <w:sz w:val="24"/>
          <w:szCs w:val="24"/>
        </w:rPr>
        <w:t>3</w:t>
      </w:r>
      <w:r w:rsidRPr="0067181F">
        <w:rPr>
          <w:rFonts w:asciiTheme="majorHAnsi" w:eastAsia="Times New Roman" w:hAnsiTheme="majorHAnsi"/>
          <w:iCs/>
          <w:sz w:val="24"/>
          <w:szCs w:val="24"/>
        </w:rPr>
        <w:t xml:space="preserve">). </w:t>
      </w:r>
      <w:r w:rsidRPr="0067181F">
        <w:rPr>
          <w:rFonts w:asciiTheme="majorHAnsi" w:eastAsia="Times New Roman" w:hAnsiTheme="majorHAnsi"/>
          <w:i/>
          <w:iCs/>
          <w:sz w:val="24"/>
          <w:szCs w:val="24"/>
        </w:rPr>
        <w:t>20</w:t>
      </w:r>
      <w:r w:rsidR="00642593">
        <w:rPr>
          <w:rFonts w:asciiTheme="majorHAnsi" w:eastAsia="Times New Roman" w:hAnsiTheme="majorHAnsi"/>
          <w:i/>
          <w:iCs/>
          <w:sz w:val="24"/>
          <w:szCs w:val="24"/>
        </w:rPr>
        <w:t>13</w:t>
      </w:r>
      <w:r w:rsidRPr="0067181F">
        <w:rPr>
          <w:rFonts w:asciiTheme="majorHAnsi" w:eastAsia="Times New Roman" w:hAnsiTheme="majorHAnsi"/>
          <w:i/>
          <w:iCs/>
          <w:sz w:val="24"/>
          <w:szCs w:val="24"/>
        </w:rPr>
        <w:t xml:space="preserve"> statistical yearbook</w:t>
      </w:r>
      <w:r w:rsidRPr="0067181F">
        <w:rPr>
          <w:rFonts w:asciiTheme="majorHAnsi" w:eastAsia="Times New Roman" w:hAnsiTheme="majorHAnsi"/>
          <w:iCs/>
          <w:sz w:val="24"/>
          <w:szCs w:val="24"/>
        </w:rPr>
        <w:t xml:space="preserve">. Sana'a, Yemen: Ministry of Planning and International Cooperation. </w:t>
      </w:r>
    </w:p>
    <w:p w:rsidR="008E09F7" w:rsidRPr="0067181F" w:rsidRDefault="008E09F7" w:rsidP="008E09F7">
      <w:pPr>
        <w:spacing w:line="480" w:lineRule="auto"/>
        <w:ind w:left="720" w:hanging="720"/>
        <w:rPr>
          <w:rFonts w:asciiTheme="majorHAnsi" w:eastAsia="Times New Roman" w:hAnsiTheme="majorHAnsi"/>
          <w:sz w:val="24"/>
          <w:szCs w:val="24"/>
        </w:rPr>
      </w:pPr>
      <w:r w:rsidRPr="0067181F">
        <w:rPr>
          <w:rFonts w:asciiTheme="majorHAnsi" w:eastAsia="Times New Roman" w:hAnsiTheme="majorHAnsi"/>
          <w:sz w:val="24"/>
          <w:szCs w:val="24"/>
        </w:rPr>
        <w:t xml:space="preserve">Yemeni Ministry of Finance.(2013). </w:t>
      </w:r>
      <w:r w:rsidRPr="0067181F">
        <w:rPr>
          <w:rFonts w:asciiTheme="majorHAnsi" w:eastAsia="Times New Roman" w:hAnsiTheme="majorHAnsi"/>
          <w:i/>
          <w:sz w:val="24"/>
          <w:szCs w:val="24"/>
        </w:rPr>
        <w:t>Bulletin of government finance statistics</w:t>
      </w:r>
      <w:r w:rsidRPr="0067181F">
        <w:rPr>
          <w:rFonts w:asciiTheme="majorHAnsi" w:eastAsia="Times New Roman" w:hAnsiTheme="majorHAnsi"/>
          <w:sz w:val="24"/>
          <w:szCs w:val="24"/>
        </w:rPr>
        <w:t>. Retrieved from http://www.mof.gov.ye/files/statistics/2013/fs20102.pdf</w:t>
      </w:r>
    </w:p>
    <w:p w:rsidR="00916E83" w:rsidRPr="0072532F" w:rsidRDefault="00916E83" w:rsidP="00916E83">
      <w:pPr>
        <w:spacing w:line="480" w:lineRule="auto"/>
        <w:rPr>
          <w:rFonts w:asciiTheme="majorHAnsi" w:hAnsiTheme="majorHAnsi" w:cstheme="majorBidi"/>
          <w:sz w:val="24"/>
          <w:szCs w:val="24"/>
        </w:rPr>
      </w:pPr>
    </w:p>
    <w:sectPr w:rsidR="00916E83" w:rsidRPr="0072532F" w:rsidSect="00FE11E1">
      <w:footerReference w:type="default" r:id="rId15"/>
      <w:pgSz w:w="12240" w:h="15840"/>
      <w:pgMar w:top="1440"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E48" w:rsidRDefault="006B6E48" w:rsidP="00961664">
      <w:pPr>
        <w:spacing w:after="0" w:line="240" w:lineRule="auto"/>
      </w:pPr>
      <w:r>
        <w:separator/>
      </w:r>
    </w:p>
  </w:endnote>
  <w:endnote w:type="continuationSeparator" w:id="1">
    <w:p w:rsidR="006B6E48" w:rsidRDefault="006B6E48" w:rsidP="00961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095"/>
      <w:docPartObj>
        <w:docPartGallery w:val="Page Numbers (Bottom of Page)"/>
        <w:docPartUnique/>
      </w:docPartObj>
    </w:sdtPr>
    <w:sdtContent>
      <w:p w:rsidR="00146CB4" w:rsidRDefault="00146CB4">
        <w:pPr>
          <w:pStyle w:val="Footer"/>
          <w:jc w:val="center"/>
        </w:pPr>
        <w:fldSimple w:instr=" PAGE   \* MERGEFORMAT ">
          <w:r w:rsidR="005F1C40">
            <w:rPr>
              <w:noProof/>
            </w:rPr>
            <w:t>56</w:t>
          </w:r>
        </w:fldSimple>
      </w:p>
    </w:sdtContent>
  </w:sdt>
  <w:p w:rsidR="00146CB4" w:rsidRDefault="00146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E48" w:rsidRDefault="006B6E48" w:rsidP="00961664">
      <w:pPr>
        <w:spacing w:after="0" w:line="240" w:lineRule="auto"/>
      </w:pPr>
      <w:r>
        <w:separator/>
      </w:r>
    </w:p>
  </w:footnote>
  <w:footnote w:type="continuationSeparator" w:id="1">
    <w:p w:rsidR="006B6E48" w:rsidRDefault="006B6E48" w:rsidP="00961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D18"/>
    <w:multiLevelType w:val="hybridMultilevel"/>
    <w:tmpl w:val="D8B8A262"/>
    <w:lvl w:ilvl="0" w:tplc="085AB6D0">
      <w:start w:val="1"/>
      <w:numFmt w:val="decimal"/>
      <w:lvlText w:val="%1."/>
      <w:lvlJc w:val="left"/>
      <w:pPr>
        <w:ind w:left="1429" w:hanging="360"/>
      </w:pPr>
      <w:rPr>
        <w:b/>
        <w:bCs/>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4D16CF1"/>
    <w:multiLevelType w:val="hybridMultilevel"/>
    <w:tmpl w:val="6F14D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05DC5"/>
    <w:multiLevelType w:val="hybridMultilevel"/>
    <w:tmpl w:val="429E1B0A"/>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3">
    <w:nsid w:val="12A272A6"/>
    <w:multiLevelType w:val="hybridMultilevel"/>
    <w:tmpl w:val="5B5C5CEE"/>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D5864"/>
    <w:multiLevelType w:val="hybridMultilevel"/>
    <w:tmpl w:val="570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5538"/>
    <w:multiLevelType w:val="hybridMultilevel"/>
    <w:tmpl w:val="FEC21F30"/>
    <w:lvl w:ilvl="0" w:tplc="D5407974">
      <w:start w:val="1"/>
      <w:numFmt w:val="upperLetter"/>
      <w:lvlText w:val="%1."/>
      <w:lvlJc w:val="left"/>
      <w:pPr>
        <w:ind w:left="3196" w:hanging="360"/>
      </w:pPr>
      <w:rPr>
        <w:rFonts w:hint="default"/>
        <w:b/>
        <w:bCs/>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7">
    <w:nsid w:val="232C0B53"/>
    <w:multiLevelType w:val="hybridMultilevel"/>
    <w:tmpl w:val="6B6ED126"/>
    <w:lvl w:ilvl="0" w:tplc="04090015">
      <w:start w:val="1"/>
      <w:numFmt w:val="upperLetter"/>
      <w:lvlText w:val="%1."/>
      <w:lvlJc w:val="left"/>
      <w:pPr>
        <w:ind w:left="3196" w:hanging="360"/>
      </w:pPr>
      <w:rPr>
        <w:rFonts w:hint="default"/>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8">
    <w:nsid w:val="317F0204"/>
    <w:multiLevelType w:val="hybridMultilevel"/>
    <w:tmpl w:val="09041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D0A3A"/>
    <w:multiLevelType w:val="hybridMultilevel"/>
    <w:tmpl w:val="F112E264"/>
    <w:lvl w:ilvl="0" w:tplc="04090001">
      <w:start w:val="1"/>
      <w:numFmt w:val="bullet"/>
      <w:lvlText w:val=""/>
      <w:lvlJc w:val="left"/>
      <w:pPr>
        <w:ind w:left="3551" w:hanging="360"/>
      </w:pPr>
      <w:rPr>
        <w:rFonts w:ascii="Symbol" w:hAnsi="Symbol" w:hint="default"/>
      </w:rPr>
    </w:lvl>
    <w:lvl w:ilvl="1" w:tplc="04090003" w:tentative="1">
      <w:start w:val="1"/>
      <w:numFmt w:val="bullet"/>
      <w:lvlText w:val="o"/>
      <w:lvlJc w:val="left"/>
      <w:pPr>
        <w:ind w:left="4271" w:hanging="360"/>
      </w:pPr>
      <w:rPr>
        <w:rFonts w:ascii="Courier New" w:hAnsi="Courier New" w:cs="Courier New" w:hint="default"/>
      </w:rPr>
    </w:lvl>
    <w:lvl w:ilvl="2" w:tplc="04090005" w:tentative="1">
      <w:start w:val="1"/>
      <w:numFmt w:val="bullet"/>
      <w:lvlText w:val=""/>
      <w:lvlJc w:val="left"/>
      <w:pPr>
        <w:ind w:left="4991" w:hanging="360"/>
      </w:pPr>
      <w:rPr>
        <w:rFonts w:ascii="Wingdings" w:hAnsi="Wingdings" w:hint="default"/>
      </w:rPr>
    </w:lvl>
    <w:lvl w:ilvl="3" w:tplc="04090001" w:tentative="1">
      <w:start w:val="1"/>
      <w:numFmt w:val="bullet"/>
      <w:lvlText w:val=""/>
      <w:lvlJc w:val="left"/>
      <w:pPr>
        <w:ind w:left="5711" w:hanging="360"/>
      </w:pPr>
      <w:rPr>
        <w:rFonts w:ascii="Symbol" w:hAnsi="Symbol" w:hint="default"/>
      </w:rPr>
    </w:lvl>
    <w:lvl w:ilvl="4" w:tplc="04090003" w:tentative="1">
      <w:start w:val="1"/>
      <w:numFmt w:val="bullet"/>
      <w:lvlText w:val="o"/>
      <w:lvlJc w:val="left"/>
      <w:pPr>
        <w:ind w:left="6431" w:hanging="360"/>
      </w:pPr>
      <w:rPr>
        <w:rFonts w:ascii="Courier New" w:hAnsi="Courier New" w:cs="Courier New" w:hint="default"/>
      </w:rPr>
    </w:lvl>
    <w:lvl w:ilvl="5" w:tplc="04090005" w:tentative="1">
      <w:start w:val="1"/>
      <w:numFmt w:val="bullet"/>
      <w:lvlText w:val=""/>
      <w:lvlJc w:val="left"/>
      <w:pPr>
        <w:ind w:left="7151" w:hanging="360"/>
      </w:pPr>
      <w:rPr>
        <w:rFonts w:ascii="Wingdings" w:hAnsi="Wingdings" w:hint="default"/>
      </w:rPr>
    </w:lvl>
    <w:lvl w:ilvl="6" w:tplc="04090001" w:tentative="1">
      <w:start w:val="1"/>
      <w:numFmt w:val="bullet"/>
      <w:lvlText w:val=""/>
      <w:lvlJc w:val="left"/>
      <w:pPr>
        <w:ind w:left="7871" w:hanging="360"/>
      </w:pPr>
      <w:rPr>
        <w:rFonts w:ascii="Symbol" w:hAnsi="Symbol" w:hint="default"/>
      </w:rPr>
    </w:lvl>
    <w:lvl w:ilvl="7" w:tplc="04090003" w:tentative="1">
      <w:start w:val="1"/>
      <w:numFmt w:val="bullet"/>
      <w:lvlText w:val="o"/>
      <w:lvlJc w:val="left"/>
      <w:pPr>
        <w:ind w:left="8591" w:hanging="360"/>
      </w:pPr>
      <w:rPr>
        <w:rFonts w:ascii="Courier New" w:hAnsi="Courier New" w:cs="Courier New" w:hint="default"/>
      </w:rPr>
    </w:lvl>
    <w:lvl w:ilvl="8" w:tplc="04090005" w:tentative="1">
      <w:start w:val="1"/>
      <w:numFmt w:val="bullet"/>
      <w:lvlText w:val=""/>
      <w:lvlJc w:val="left"/>
      <w:pPr>
        <w:ind w:left="9311" w:hanging="360"/>
      </w:pPr>
      <w:rPr>
        <w:rFonts w:ascii="Wingdings" w:hAnsi="Wingdings" w:hint="default"/>
      </w:rPr>
    </w:lvl>
  </w:abstractNum>
  <w:abstractNum w:abstractNumId="10">
    <w:nsid w:val="4D9A4332"/>
    <w:multiLevelType w:val="hybridMultilevel"/>
    <w:tmpl w:val="0CC4187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5EEE1026"/>
    <w:multiLevelType w:val="hybridMultilevel"/>
    <w:tmpl w:val="218ECC3C"/>
    <w:lvl w:ilvl="0" w:tplc="E082641C">
      <w:start w:val="2"/>
      <w:numFmt w:val="upperLetter"/>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E08AD"/>
    <w:multiLevelType w:val="hybridMultilevel"/>
    <w:tmpl w:val="E0387028"/>
    <w:lvl w:ilvl="0" w:tplc="085AB6D0">
      <w:start w:val="1"/>
      <w:numFmt w:val="decimal"/>
      <w:lvlText w:val="%1."/>
      <w:lvlJc w:val="left"/>
      <w:pPr>
        <w:ind w:left="2280" w:hanging="360"/>
      </w:pPr>
      <w:rPr>
        <w:b/>
        <w:bCs/>
      </w:rPr>
    </w:lvl>
    <w:lvl w:ilvl="1" w:tplc="04090019">
      <w:start w:val="1"/>
      <w:numFmt w:val="lowerLetter"/>
      <w:lvlText w:val="%2."/>
      <w:lvlJc w:val="left"/>
      <w:pPr>
        <w:ind w:left="2291" w:hanging="360"/>
      </w:pPr>
    </w:lvl>
    <w:lvl w:ilvl="2" w:tplc="04090001">
      <w:start w:val="1"/>
      <w:numFmt w:val="bullet"/>
      <w:lvlText w:val=""/>
      <w:lvlJc w:val="left"/>
      <w:pPr>
        <w:ind w:left="3011" w:hanging="180"/>
      </w:pPr>
      <w:rPr>
        <w:rFonts w:ascii="Symbol" w:hAnsi="Symbol"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62924ED7"/>
    <w:multiLevelType w:val="hybridMultilevel"/>
    <w:tmpl w:val="B5F64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53A41"/>
    <w:multiLevelType w:val="hybridMultilevel"/>
    <w:tmpl w:val="3D0C6A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8747346"/>
    <w:multiLevelType w:val="hybridMultilevel"/>
    <w:tmpl w:val="3A1E028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8C34D0B"/>
    <w:multiLevelType w:val="hybridMultilevel"/>
    <w:tmpl w:val="CC1AC042"/>
    <w:lvl w:ilvl="0" w:tplc="04090001">
      <w:start w:val="1"/>
      <w:numFmt w:val="bullet"/>
      <w:lvlText w:val=""/>
      <w:lvlJc w:val="left"/>
      <w:pPr>
        <w:ind w:left="720" w:hanging="360"/>
      </w:pPr>
      <w:rPr>
        <w:rFonts w:ascii="Symbol" w:hAnsi="Symbol" w:hint="default"/>
      </w:rPr>
    </w:lvl>
    <w:lvl w:ilvl="1" w:tplc="14B02504">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C1AEF"/>
    <w:multiLevelType w:val="hybridMultilevel"/>
    <w:tmpl w:val="1896A930"/>
    <w:lvl w:ilvl="0" w:tplc="085AB6D0">
      <w:start w:val="1"/>
      <w:numFmt w:val="decimal"/>
      <w:lvlText w:val="%1."/>
      <w:lvlJc w:val="left"/>
      <w:pPr>
        <w:ind w:left="2138"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D535C9B"/>
    <w:multiLevelType w:val="multilevel"/>
    <w:tmpl w:val="72DA97A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720" w:firstLine="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6F402FF2"/>
    <w:multiLevelType w:val="hybridMultilevel"/>
    <w:tmpl w:val="628E4E12"/>
    <w:lvl w:ilvl="0" w:tplc="F8F691FA">
      <w:start w:val="2"/>
      <w:numFmt w:val="upperLetter"/>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F6C6B"/>
    <w:multiLevelType w:val="hybridMultilevel"/>
    <w:tmpl w:val="6B6ED126"/>
    <w:lvl w:ilvl="0" w:tplc="04090015">
      <w:start w:val="1"/>
      <w:numFmt w:val="upperLetter"/>
      <w:lvlText w:val="%1."/>
      <w:lvlJc w:val="left"/>
      <w:pPr>
        <w:ind w:left="3196" w:hanging="360"/>
      </w:pPr>
      <w:rPr>
        <w:rFonts w:hint="default"/>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1">
    <w:nsid w:val="729F14A2"/>
    <w:multiLevelType w:val="hybridMultilevel"/>
    <w:tmpl w:val="68B8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64C9B"/>
    <w:multiLevelType w:val="hybridMultilevel"/>
    <w:tmpl w:val="26C6019E"/>
    <w:lvl w:ilvl="0" w:tplc="0409000F">
      <w:start w:val="1"/>
      <w:numFmt w:val="decimal"/>
      <w:lvlText w:val="%1."/>
      <w:lvlJc w:val="left"/>
      <w:pPr>
        <w:ind w:left="1471" w:hanging="360"/>
      </w:pPr>
    </w:lvl>
    <w:lvl w:ilvl="1" w:tplc="04090019">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23">
    <w:nsid w:val="7F652906"/>
    <w:multiLevelType w:val="hybridMultilevel"/>
    <w:tmpl w:val="EEC246B0"/>
    <w:lvl w:ilvl="0" w:tplc="9F7A8586">
      <w:start w:val="3"/>
      <w:numFmt w:val="upperLetter"/>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5"/>
  </w:num>
  <w:num w:numId="4">
    <w:abstractNumId w:val="0"/>
  </w:num>
  <w:num w:numId="5">
    <w:abstractNumId w:val="17"/>
  </w:num>
  <w:num w:numId="6">
    <w:abstractNumId w:val="12"/>
  </w:num>
  <w:num w:numId="7">
    <w:abstractNumId w:val="3"/>
  </w:num>
  <w:num w:numId="8">
    <w:abstractNumId w:val="5"/>
  </w:num>
  <w:num w:numId="9">
    <w:abstractNumId w:val="18"/>
  </w:num>
  <w:num w:numId="10">
    <w:abstractNumId w:val="10"/>
  </w:num>
  <w:num w:numId="11">
    <w:abstractNumId w:val="22"/>
  </w:num>
  <w:num w:numId="12">
    <w:abstractNumId w:val="9"/>
  </w:num>
  <w:num w:numId="13">
    <w:abstractNumId w:val="2"/>
  </w:num>
  <w:num w:numId="14">
    <w:abstractNumId w:val="14"/>
  </w:num>
  <w:num w:numId="15">
    <w:abstractNumId w:val="20"/>
  </w:num>
  <w:num w:numId="16">
    <w:abstractNumId w:val="6"/>
  </w:num>
  <w:num w:numId="17">
    <w:abstractNumId w:val="7"/>
  </w:num>
  <w:num w:numId="18">
    <w:abstractNumId w:val="11"/>
  </w:num>
  <w:num w:numId="19">
    <w:abstractNumId w:val="1"/>
  </w:num>
  <w:num w:numId="20">
    <w:abstractNumId w:val="23"/>
  </w:num>
  <w:num w:numId="21">
    <w:abstractNumId w:val="4"/>
  </w:num>
  <w:num w:numId="22">
    <w:abstractNumId w:val="13"/>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F5AD5"/>
    <w:rsid w:val="000000C5"/>
    <w:rsid w:val="000058A9"/>
    <w:rsid w:val="00011331"/>
    <w:rsid w:val="0003120F"/>
    <w:rsid w:val="00034A00"/>
    <w:rsid w:val="0005477E"/>
    <w:rsid w:val="0005757F"/>
    <w:rsid w:val="00057A67"/>
    <w:rsid w:val="00065DDB"/>
    <w:rsid w:val="00066F95"/>
    <w:rsid w:val="00077EF0"/>
    <w:rsid w:val="0008300E"/>
    <w:rsid w:val="00092734"/>
    <w:rsid w:val="000956D9"/>
    <w:rsid w:val="000957D3"/>
    <w:rsid w:val="00097638"/>
    <w:rsid w:val="00097DD8"/>
    <w:rsid w:val="000A736E"/>
    <w:rsid w:val="000B0601"/>
    <w:rsid w:val="000C3725"/>
    <w:rsid w:val="000C7E54"/>
    <w:rsid w:val="000D2B42"/>
    <w:rsid w:val="000D55F0"/>
    <w:rsid w:val="000E598A"/>
    <w:rsid w:val="000E68B6"/>
    <w:rsid w:val="000F11F9"/>
    <w:rsid w:val="000F3D6C"/>
    <w:rsid w:val="000F5AD5"/>
    <w:rsid w:val="000F7503"/>
    <w:rsid w:val="00116C7F"/>
    <w:rsid w:val="001209BC"/>
    <w:rsid w:val="001269FE"/>
    <w:rsid w:val="00146CB4"/>
    <w:rsid w:val="00155583"/>
    <w:rsid w:val="0016001F"/>
    <w:rsid w:val="001619C1"/>
    <w:rsid w:val="0016381F"/>
    <w:rsid w:val="001727AE"/>
    <w:rsid w:val="0018526A"/>
    <w:rsid w:val="001859FA"/>
    <w:rsid w:val="001B147B"/>
    <w:rsid w:val="001C1646"/>
    <w:rsid w:val="001C79BA"/>
    <w:rsid w:val="001D1720"/>
    <w:rsid w:val="001E3F62"/>
    <w:rsid w:val="001E7BA6"/>
    <w:rsid w:val="001F46CD"/>
    <w:rsid w:val="00200DAC"/>
    <w:rsid w:val="00200ED2"/>
    <w:rsid w:val="00211090"/>
    <w:rsid w:val="00217B3F"/>
    <w:rsid w:val="002213AB"/>
    <w:rsid w:val="00226869"/>
    <w:rsid w:val="00251AB2"/>
    <w:rsid w:val="00262747"/>
    <w:rsid w:val="002657AE"/>
    <w:rsid w:val="00270421"/>
    <w:rsid w:val="002831E4"/>
    <w:rsid w:val="00286D85"/>
    <w:rsid w:val="0028734B"/>
    <w:rsid w:val="002A317D"/>
    <w:rsid w:val="002B276E"/>
    <w:rsid w:val="002C4F15"/>
    <w:rsid w:val="002C5783"/>
    <w:rsid w:val="002C6E63"/>
    <w:rsid w:val="002D71BC"/>
    <w:rsid w:val="002E02E2"/>
    <w:rsid w:val="002F0DB5"/>
    <w:rsid w:val="00301036"/>
    <w:rsid w:val="00301A8F"/>
    <w:rsid w:val="0030656B"/>
    <w:rsid w:val="00350C8F"/>
    <w:rsid w:val="00354B2B"/>
    <w:rsid w:val="003603ED"/>
    <w:rsid w:val="003608FD"/>
    <w:rsid w:val="00363340"/>
    <w:rsid w:val="003662AE"/>
    <w:rsid w:val="003705BE"/>
    <w:rsid w:val="003806AA"/>
    <w:rsid w:val="00382C6B"/>
    <w:rsid w:val="00387DB5"/>
    <w:rsid w:val="0039719C"/>
    <w:rsid w:val="003A49DA"/>
    <w:rsid w:val="003B0494"/>
    <w:rsid w:val="003C1FDD"/>
    <w:rsid w:val="003D5255"/>
    <w:rsid w:val="003E2194"/>
    <w:rsid w:val="003E4E57"/>
    <w:rsid w:val="0040736C"/>
    <w:rsid w:val="00410ECD"/>
    <w:rsid w:val="0042016F"/>
    <w:rsid w:val="0042434C"/>
    <w:rsid w:val="00425AEC"/>
    <w:rsid w:val="00427D4B"/>
    <w:rsid w:val="004414AE"/>
    <w:rsid w:val="00443749"/>
    <w:rsid w:val="0046368E"/>
    <w:rsid w:val="00482989"/>
    <w:rsid w:val="00484931"/>
    <w:rsid w:val="0049699C"/>
    <w:rsid w:val="004C0067"/>
    <w:rsid w:val="004C1272"/>
    <w:rsid w:val="004C1AA2"/>
    <w:rsid w:val="004C71A5"/>
    <w:rsid w:val="004F0008"/>
    <w:rsid w:val="004F3316"/>
    <w:rsid w:val="004F3A39"/>
    <w:rsid w:val="0053151A"/>
    <w:rsid w:val="00536633"/>
    <w:rsid w:val="00546418"/>
    <w:rsid w:val="005472A8"/>
    <w:rsid w:val="00550229"/>
    <w:rsid w:val="00550F44"/>
    <w:rsid w:val="005601C9"/>
    <w:rsid w:val="00564C5D"/>
    <w:rsid w:val="00581816"/>
    <w:rsid w:val="005960FE"/>
    <w:rsid w:val="005C65C6"/>
    <w:rsid w:val="005E09C2"/>
    <w:rsid w:val="005E2C60"/>
    <w:rsid w:val="005E3E06"/>
    <w:rsid w:val="005F0C42"/>
    <w:rsid w:val="005F1C40"/>
    <w:rsid w:val="005F1F09"/>
    <w:rsid w:val="00602680"/>
    <w:rsid w:val="0060332E"/>
    <w:rsid w:val="00622CE8"/>
    <w:rsid w:val="00634FF1"/>
    <w:rsid w:val="00642593"/>
    <w:rsid w:val="00642826"/>
    <w:rsid w:val="00652C29"/>
    <w:rsid w:val="00670FED"/>
    <w:rsid w:val="0067181F"/>
    <w:rsid w:val="00672C83"/>
    <w:rsid w:val="00672E95"/>
    <w:rsid w:val="006833B6"/>
    <w:rsid w:val="006863F5"/>
    <w:rsid w:val="006A4684"/>
    <w:rsid w:val="006A4C82"/>
    <w:rsid w:val="006A67FD"/>
    <w:rsid w:val="006B6E48"/>
    <w:rsid w:val="006D1D5D"/>
    <w:rsid w:val="006D7DE8"/>
    <w:rsid w:val="006E5971"/>
    <w:rsid w:val="006F27D5"/>
    <w:rsid w:val="006F2B23"/>
    <w:rsid w:val="006F2C42"/>
    <w:rsid w:val="00701B74"/>
    <w:rsid w:val="0070586D"/>
    <w:rsid w:val="00710101"/>
    <w:rsid w:val="00715765"/>
    <w:rsid w:val="0072532F"/>
    <w:rsid w:val="00726C9A"/>
    <w:rsid w:val="0073170E"/>
    <w:rsid w:val="00750BAA"/>
    <w:rsid w:val="00760A96"/>
    <w:rsid w:val="00765F94"/>
    <w:rsid w:val="00772F17"/>
    <w:rsid w:val="00781C07"/>
    <w:rsid w:val="00782710"/>
    <w:rsid w:val="0078300E"/>
    <w:rsid w:val="007878DF"/>
    <w:rsid w:val="00790D3D"/>
    <w:rsid w:val="00792EEE"/>
    <w:rsid w:val="00793051"/>
    <w:rsid w:val="007A73BA"/>
    <w:rsid w:val="007B14D0"/>
    <w:rsid w:val="007B6063"/>
    <w:rsid w:val="007C1B07"/>
    <w:rsid w:val="007D58FC"/>
    <w:rsid w:val="007E3AD3"/>
    <w:rsid w:val="007F76C2"/>
    <w:rsid w:val="008031C8"/>
    <w:rsid w:val="00822D35"/>
    <w:rsid w:val="00834418"/>
    <w:rsid w:val="008356D2"/>
    <w:rsid w:val="00836492"/>
    <w:rsid w:val="0084203C"/>
    <w:rsid w:val="00855BB9"/>
    <w:rsid w:val="008778D5"/>
    <w:rsid w:val="00882603"/>
    <w:rsid w:val="00887668"/>
    <w:rsid w:val="00891885"/>
    <w:rsid w:val="00895647"/>
    <w:rsid w:val="008A3E74"/>
    <w:rsid w:val="008A6D20"/>
    <w:rsid w:val="008B4B3D"/>
    <w:rsid w:val="008D4345"/>
    <w:rsid w:val="008D71F9"/>
    <w:rsid w:val="008E09F7"/>
    <w:rsid w:val="009126A9"/>
    <w:rsid w:val="009164D2"/>
    <w:rsid w:val="00916E83"/>
    <w:rsid w:val="00921E8B"/>
    <w:rsid w:val="0092558F"/>
    <w:rsid w:val="00931DE1"/>
    <w:rsid w:val="00931EF5"/>
    <w:rsid w:val="00943EFD"/>
    <w:rsid w:val="009459BD"/>
    <w:rsid w:val="00946939"/>
    <w:rsid w:val="00961664"/>
    <w:rsid w:val="00964BE8"/>
    <w:rsid w:val="009706B2"/>
    <w:rsid w:val="00973958"/>
    <w:rsid w:val="009750B9"/>
    <w:rsid w:val="00980B91"/>
    <w:rsid w:val="00983401"/>
    <w:rsid w:val="009837A6"/>
    <w:rsid w:val="00987D52"/>
    <w:rsid w:val="009A1F3D"/>
    <w:rsid w:val="009A7934"/>
    <w:rsid w:val="009B02B7"/>
    <w:rsid w:val="009B08A1"/>
    <w:rsid w:val="009B3350"/>
    <w:rsid w:val="009B50B6"/>
    <w:rsid w:val="009B6A4E"/>
    <w:rsid w:val="009C154B"/>
    <w:rsid w:val="009C666F"/>
    <w:rsid w:val="009D67B4"/>
    <w:rsid w:val="009D7613"/>
    <w:rsid w:val="009F043E"/>
    <w:rsid w:val="009F0C81"/>
    <w:rsid w:val="00A0370D"/>
    <w:rsid w:val="00A038F0"/>
    <w:rsid w:val="00A1075D"/>
    <w:rsid w:val="00A134F2"/>
    <w:rsid w:val="00A244EC"/>
    <w:rsid w:val="00A42ECC"/>
    <w:rsid w:val="00A461E5"/>
    <w:rsid w:val="00A46A06"/>
    <w:rsid w:val="00A51E85"/>
    <w:rsid w:val="00A53A68"/>
    <w:rsid w:val="00A54555"/>
    <w:rsid w:val="00A74199"/>
    <w:rsid w:val="00A77BCB"/>
    <w:rsid w:val="00A8112E"/>
    <w:rsid w:val="00A837AF"/>
    <w:rsid w:val="00A8729A"/>
    <w:rsid w:val="00A95AFA"/>
    <w:rsid w:val="00AA1CA0"/>
    <w:rsid w:val="00AA370D"/>
    <w:rsid w:val="00AD3EB7"/>
    <w:rsid w:val="00AD56BA"/>
    <w:rsid w:val="00AE13F0"/>
    <w:rsid w:val="00AE2D11"/>
    <w:rsid w:val="00AE3914"/>
    <w:rsid w:val="00AE6594"/>
    <w:rsid w:val="00AF7A8D"/>
    <w:rsid w:val="00B12554"/>
    <w:rsid w:val="00B15D3E"/>
    <w:rsid w:val="00B20DC7"/>
    <w:rsid w:val="00B374C1"/>
    <w:rsid w:val="00B37676"/>
    <w:rsid w:val="00B521F8"/>
    <w:rsid w:val="00B63B6D"/>
    <w:rsid w:val="00B646D5"/>
    <w:rsid w:val="00B6617C"/>
    <w:rsid w:val="00B702AF"/>
    <w:rsid w:val="00B7228F"/>
    <w:rsid w:val="00B73573"/>
    <w:rsid w:val="00B74597"/>
    <w:rsid w:val="00B81219"/>
    <w:rsid w:val="00B83F17"/>
    <w:rsid w:val="00B851E6"/>
    <w:rsid w:val="00B92BA2"/>
    <w:rsid w:val="00B93EBC"/>
    <w:rsid w:val="00BB412C"/>
    <w:rsid w:val="00BC723F"/>
    <w:rsid w:val="00BD67BE"/>
    <w:rsid w:val="00BF37A9"/>
    <w:rsid w:val="00BF7D77"/>
    <w:rsid w:val="00C01885"/>
    <w:rsid w:val="00C050FF"/>
    <w:rsid w:val="00C123BA"/>
    <w:rsid w:val="00C12FC6"/>
    <w:rsid w:val="00C22D65"/>
    <w:rsid w:val="00C2661C"/>
    <w:rsid w:val="00C277BA"/>
    <w:rsid w:val="00C452BB"/>
    <w:rsid w:val="00C63FBB"/>
    <w:rsid w:val="00C751DC"/>
    <w:rsid w:val="00C75A83"/>
    <w:rsid w:val="00C81540"/>
    <w:rsid w:val="00C832C0"/>
    <w:rsid w:val="00C96484"/>
    <w:rsid w:val="00CA2496"/>
    <w:rsid w:val="00CA7355"/>
    <w:rsid w:val="00CB693B"/>
    <w:rsid w:val="00CB7E6E"/>
    <w:rsid w:val="00CC2484"/>
    <w:rsid w:val="00CD26DA"/>
    <w:rsid w:val="00CF46DB"/>
    <w:rsid w:val="00D10A01"/>
    <w:rsid w:val="00D10EEB"/>
    <w:rsid w:val="00D13F73"/>
    <w:rsid w:val="00D35B4F"/>
    <w:rsid w:val="00D4056B"/>
    <w:rsid w:val="00D408F8"/>
    <w:rsid w:val="00D4099D"/>
    <w:rsid w:val="00D54B74"/>
    <w:rsid w:val="00D71486"/>
    <w:rsid w:val="00D73BEC"/>
    <w:rsid w:val="00D840FD"/>
    <w:rsid w:val="00D8782F"/>
    <w:rsid w:val="00D91F80"/>
    <w:rsid w:val="00D9265D"/>
    <w:rsid w:val="00D9585A"/>
    <w:rsid w:val="00D9739B"/>
    <w:rsid w:val="00D97A8E"/>
    <w:rsid w:val="00DA108E"/>
    <w:rsid w:val="00DA29A3"/>
    <w:rsid w:val="00DD5AF1"/>
    <w:rsid w:val="00DE4F47"/>
    <w:rsid w:val="00DE7D73"/>
    <w:rsid w:val="00E05E00"/>
    <w:rsid w:val="00E22E48"/>
    <w:rsid w:val="00E252F2"/>
    <w:rsid w:val="00E27630"/>
    <w:rsid w:val="00E31628"/>
    <w:rsid w:val="00E33B77"/>
    <w:rsid w:val="00E536FD"/>
    <w:rsid w:val="00E6146B"/>
    <w:rsid w:val="00E62424"/>
    <w:rsid w:val="00E70276"/>
    <w:rsid w:val="00E723F7"/>
    <w:rsid w:val="00E811AE"/>
    <w:rsid w:val="00E94A5C"/>
    <w:rsid w:val="00EA01F6"/>
    <w:rsid w:val="00EA5BDF"/>
    <w:rsid w:val="00EA69C6"/>
    <w:rsid w:val="00EB62EA"/>
    <w:rsid w:val="00EE3296"/>
    <w:rsid w:val="00EE5E6A"/>
    <w:rsid w:val="00EE6925"/>
    <w:rsid w:val="00F14AA2"/>
    <w:rsid w:val="00F21B08"/>
    <w:rsid w:val="00F303B1"/>
    <w:rsid w:val="00F322E0"/>
    <w:rsid w:val="00F3533D"/>
    <w:rsid w:val="00F35EFC"/>
    <w:rsid w:val="00F4005B"/>
    <w:rsid w:val="00F467CB"/>
    <w:rsid w:val="00F51BDD"/>
    <w:rsid w:val="00F53BD8"/>
    <w:rsid w:val="00F579BC"/>
    <w:rsid w:val="00F70A0C"/>
    <w:rsid w:val="00FA2F38"/>
    <w:rsid w:val="00FB5B4E"/>
    <w:rsid w:val="00FE11E1"/>
    <w:rsid w:val="00FF1736"/>
    <w:rsid w:val="00FF5808"/>
    <w:rsid w:val="00FF5DC4"/>
    <w:rsid w:val="00FF6F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BE"/>
  </w:style>
  <w:style w:type="paragraph" w:styleId="Heading1">
    <w:name w:val="heading 1"/>
    <w:basedOn w:val="Normal"/>
    <w:next w:val="Normal"/>
    <w:link w:val="Heading1Char"/>
    <w:uiPriority w:val="9"/>
    <w:qFormat/>
    <w:rsid w:val="00603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61664"/>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unhideWhenUsed/>
    <w:qFormat/>
    <w:rsid w:val="006A4C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AE"/>
    <w:pPr>
      <w:ind w:left="720"/>
      <w:contextualSpacing/>
    </w:pPr>
  </w:style>
  <w:style w:type="paragraph" w:styleId="BalloonText">
    <w:name w:val="Balloon Text"/>
    <w:basedOn w:val="Normal"/>
    <w:link w:val="BalloonTextChar"/>
    <w:uiPriority w:val="99"/>
    <w:semiHidden/>
    <w:unhideWhenUsed/>
    <w:rsid w:val="001D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20"/>
    <w:rPr>
      <w:rFonts w:ascii="Tahoma" w:hAnsi="Tahoma" w:cs="Tahoma"/>
      <w:sz w:val="16"/>
      <w:szCs w:val="16"/>
    </w:rPr>
  </w:style>
  <w:style w:type="character" w:customStyle="1" w:styleId="Heading3Char">
    <w:name w:val="Heading 3 Char"/>
    <w:basedOn w:val="DefaultParagraphFont"/>
    <w:link w:val="Heading3"/>
    <w:uiPriority w:val="9"/>
    <w:rsid w:val="00961664"/>
    <w:rPr>
      <w:rFonts w:asciiTheme="majorHAnsi" w:eastAsiaTheme="majorEastAsia" w:hAnsiTheme="majorHAnsi" w:cstheme="majorBidi"/>
      <w:b/>
      <w:bCs/>
      <w:lang w:bidi="en-US"/>
    </w:rPr>
  </w:style>
  <w:style w:type="paragraph" w:styleId="FootnoteText">
    <w:name w:val="footnote text"/>
    <w:basedOn w:val="Normal"/>
    <w:link w:val="FootnoteTextChar"/>
    <w:uiPriority w:val="99"/>
    <w:unhideWhenUsed/>
    <w:rsid w:val="00961664"/>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961664"/>
    <w:rPr>
      <w:rFonts w:eastAsiaTheme="minorEastAsia"/>
      <w:sz w:val="20"/>
      <w:szCs w:val="20"/>
      <w:lang w:bidi="en-US"/>
    </w:rPr>
  </w:style>
  <w:style w:type="character" w:styleId="FootnoteReference">
    <w:name w:val="footnote reference"/>
    <w:basedOn w:val="DefaultParagraphFont"/>
    <w:uiPriority w:val="99"/>
    <w:semiHidden/>
    <w:unhideWhenUsed/>
    <w:rsid w:val="00961664"/>
    <w:rPr>
      <w:vertAlign w:val="superscript"/>
    </w:rPr>
  </w:style>
  <w:style w:type="character" w:styleId="PlaceholderText">
    <w:name w:val="Placeholder Text"/>
    <w:basedOn w:val="DefaultParagraphFont"/>
    <w:uiPriority w:val="99"/>
    <w:semiHidden/>
    <w:rsid w:val="00FE11E1"/>
    <w:rPr>
      <w:color w:val="808080"/>
    </w:rPr>
  </w:style>
  <w:style w:type="character" w:customStyle="1" w:styleId="hps">
    <w:name w:val="hps"/>
    <w:basedOn w:val="DefaultParagraphFont"/>
    <w:rsid w:val="009A7934"/>
  </w:style>
  <w:style w:type="paragraph" w:styleId="Header">
    <w:name w:val="header"/>
    <w:basedOn w:val="Normal"/>
    <w:link w:val="HeaderChar"/>
    <w:uiPriority w:val="99"/>
    <w:semiHidden/>
    <w:unhideWhenUsed/>
    <w:rsid w:val="006F2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C42"/>
  </w:style>
  <w:style w:type="paragraph" w:styleId="Footer">
    <w:name w:val="footer"/>
    <w:basedOn w:val="Normal"/>
    <w:link w:val="FooterChar"/>
    <w:uiPriority w:val="99"/>
    <w:unhideWhenUsed/>
    <w:rsid w:val="006F2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C42"/>
  </w:style>
  <w:style w:type="character" w:customStyle="1" w:styleId="Heading1Char">
    <w:name w:val="Heading 1 Char"/>
    <w:basedOn w:val="DefaultParagraphFont"/>
    <w:link w:val="Heading1"/>
    <w:uiPriority w:val="9"/>
    <w:rsid w:val="0060332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A4C82"/>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64C5D"/>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E22E48"/>
    <w:rPr>
      <w:sz w:val="18"/>
      <w:szCs w:val="18"/>
    </w:rPr>
  </w:style>
  <w:style w:type="paragraph" w:styleId="CommentText">
    <w:name w:val="annotation text"/>
    <w:basedOn w:val="Normal"/>
    <w:link w:val="CommentTextChar"/>
    <w:uiPriority w:val="99"/>
    <w:semiHidden/>
    <w:unhideWhenUsed/>
    <w:rsid w:val="00E22E48"/>
    <w:pPr>
      <w:spacing w:line="240" w:lineRule="auto"/>
    </w:pPr>
    <w:rPr>
      <w:sz w:val="24"/>
      <w:szCs w:val="24"/>
    </w:rPr>
  </w:style>
  <w:style w:type="character" w:customStyle="1" w:styleId="CommentTextChar">
    <w:name w:val="Comment Text Char"/>
    <w:basedOn w:val="DefaultParagraphFont"/>
    <w:link w:val="CommentText"/>
    <w:uiPriority w:val="99"/>
    <w:semiHidden/>
    <w:rsid w:val="00E22E48"/>
    <w:rPr>
      <w:sz w:val="24"/>
      <w:szCs w:val="24"/>
    </w:rPr>
  </w:style>
  <w:style w:type="paragraph" w:styleId="CommentSubject">
    <w:name w:val="annotation subject"/>
    <w:basedOn w:val="CommentText"/>
    <w:next w:val="CommentText"/>
    <w:link w:val="CommentSubjectChar"/>
    <w:uiPriority w:val="99"/>
    <w:semiHidden/>
    <w:unhideWhenUsed/>
    <w:rsid w:val="00E22E48"/>
    <w:rPr>
      <w:b/>
      <w:bCs/>
      <w:sz w:val="20"/>
      <w:szCs w:val="20"/>
    </w:rPr>
  </w:style>
  <w:style w:type="character" w:customStyle="1" w:styleId="CommentSubjectChar">
    <w:name w:val="Comment Subject Char"/>
    <w:basedOn w:val="CommentTextChar"/>
    <w:link w:val="CommentSubject"/>
    <w:uiPriority w:val="99"/>
    <w:semiHidden/>
    <w:rsid w:val="00E22E48"/>
    <w:rPr>
      <w:b/>
      <w:bCs/>
      <w:sz w:val="20"/>
      <w:szCs w:val="20"/>
    </w:rPr>
  </w:style>
  <w:style w:type="paragraph" w:customStyle="1" w:styleId="ParagraphNumbering">
    <w:name w:val="Paragraph Numbering"/>
    <w:basedOn w:val="Normal"/>
    <w:link w:val="ParagraphNumberingChar"/>
    <w:uiPriority w:val="1"/>
    <w:qFormat/>
    <w:rsid w:val="008D71F9"/>
    <w:pPr>
      <w:numPr>
        <w:numId w:val="21"/>
      </w:numPr>
      <w:spacing w:after="240" w:line="264" w:lineRule="auto"/>
    </w:pPr>
    <w:rPr>
      <w:rFonts w:ascii="Times New Roman" w:eastAsia="SimSun" w:hAnsi="Times New Roman" w:cs="Times New Roman"/>
      <w:sz w:val="24"/>
      <w:szCs w:val="20"/>
    </w:rPr>
  </w:style>
  <w:style w:type="character" w:customStyle="1" w:styleId="ParagraphNumberingChar">
    <w:name w:val="Paragraph Numbering Char"/>
    <w:basedOn w:val="DefaultParagraphFont"/>
    <w:link w:val="ParagraphNumbering"/>
    <w:uiPriority w:val="1"/>
    <w:locked/>
    <w:rsid w:val="008D71F9"/>
    <w:rPr>
      <w:rFonts w:ascii="Times New Roman" w:eastAsia="SimSun" w:hAnsi="Times New Roman" w:cs="Times New Roman"/>
      <w:sz w:val="24"/>
      <w:szCs w:val="20"/>
    </w:rPr>
  </w:style>
  <w:style w:type="table" w:styleId="TableGrid">
    <w:name w:val="Table Grid"/>
    <w:basedOn w:val="TableNormal"/>
    <w:uiPriority w:val="59"/>
    <w:rsid w:val="008D71F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213227">
      <w:bodyDiv w:val="1"/>
      <w:marLeft w:val="0"/>
      <w:marRight w:val="0"/>
      <w:marTop w:val="0"/>
      <w:marBottom w:val="0"/>
      <w:divBdr>
        <w:top w:val="none" w:sz="0" w:space="0" w:color="auto"/>
        <w:left w:val="none" w:sz="0" w:space="0" w:color="auto"/>
        <w:bottom w:val="none" w:sz="0" w:space="0" w:color="auto"/>
        <w:right w:val="none" w:sz="0" w:space="0" w:color="auto"/>
      </w:divBdr>
    </w:div>
    <w:div w:id="82453649">
      <w:bodyDiv w:val="1"/>
      <w:marLeft w:val="0"/>
      <w:marRight w:val="0"/>
      <w:marTop w:val="0"/>
      <w:marBottom w:val="0"/>
      <w:divBdr>
        <w:top w:val="none" w:sz="0" w:space="0" w:color="auto"/>
        <w:left w:val="none" w:sz="0" w:space="0" w:color="auto"/>
        <w:bottom w:val="none" w:sz="0" w:space="0" w:color="auto"/>
        <w:right w:val="none" w:sz="0" w:space="0" w:color="auto"/>
      </w:divBdr>
    </w:div>
    <w:div w:id="97532740">
      <w:bodyDiv w:val="1"/>
      <w:marLeft w:val="0"/>
      <w:marRight w:val="0"/>
      <w:marTop w:val="0"/>
      <w:marBottom w:val="0"/>
      <w:divBdr>
        <w:top w:val="none" w:sz="0" w:space="0" w:color="auto"/>
        <w:left w:val="none" w:sz="0" w:space="0" w:color="auto"/>
        <w:bottom w:val="none" w:sz="0" w:space="0" w:color="auto"/>
        <w:right w:val="none" w:sz="0" w:space="0" w:color="auto"/>
      </w:divBdr>
    </w:div>
    <w:div w:id="119155990">
      <w:bodyDiv w:val="1"/>
      <w:marLeft w:val="0"/>
      <w:marRight w:val="0"/>
      <w:marTop w:val="0"/>
      <w:marBottom w:val="0"/>
      <w:divBdr>
        <w:top w:val="none" w:sz="0" w:space="0" w:color="auto"/>
        <w:left w:val="none" w:sz="0" w:space="0" w:color="auto"/>
        <w:bottom w:val="none" w:sz="0" w:space="0" w:color="auto"/>
        <w:right w:val="none" w:sz="0" w:space="0" w:color="auto"/>
      </w:divBdr>
    </w:div>
    <w:div w:id="151482375">
      <w:bodyDiv w:val="1"/>
      <w:marLeft w:val="0"/>
      <w:marRight w:val="0"/>
      <w:marTop w:val="0"/>
      <w:marBottom w:val="0"/>
      <w:divBdr>
        <w:top w:val="none" w:sz="0" w:space="0" w:color="auto"/>
        <w:left w:val="none" w:sz="0" w:space="0" w:color="auto"/>
        <w:bottom w:val="none" w:sz="0" w:space="0" w:color="auto"/>
        <w:right w:val="none" w:sz="0" w:space="0" w:color="auto"/>
      </w:divBdr>
    </w:div>
    <w:div w:id="194513405">
      <w:bodyDiv w:val="1"/>
      <w:marLeft w:val="0"/>
      <w:marRight w:val="0"/>
      <w:marTop w:val="0"/>
      <w:marBottom w:val="0"/>
      <w:divBdr>
        <w:top w:val="none" w:sz="0" w:space="0" w:color="auto"/>
        <w:left w:val="none" w:sz="0" w:space="0" w:color="auto"/>
        <w:bottom w:val="none" w:sz="0" w:space="0" w:color="auto"/>
        <w:right w:val="none" w:sz="0" w:space="0" w:color="auto"/>
      </w:divBdr>
    </w:div>
    <w:div w:id="196236063">
      <w:bodyDiv w:val="1"/>
      <w:marLeft w:val="0"/>
      <w:marRight w:val="0"/>
      <w:marTop w:val="0"/>
      <w:marBottom w:val="0"/>
      <w:divBdr>
        <w:top w:val="none" w:sz="0" w:space="0" w:color="auto"/>
        <w:left w:val="none" w:sz="0" w:space="0" w:color="auto"/>
        <w:bottom w:val="none" w:sz="0" w:space="0" w:color="auto"/>
        <w:right w:val="none" w:sz="0" w:space="0" w:color="auto"/>
      </w:divBdr>
    </w:div>
    <w:div w:id="204102334">
      <w:bodyDiv w:val="1"/>
      <w:marLeft w:val="0"/>
      <w:marRight w:val="0"/>
      <w:marTop w:val="0"/>
      <w:marBottom w:val="0"/>
      <w:divBdr>
        <w:top w:val="none" w:sz="0" w:space="0" w:color="auto"/>
        <w:left w:val="none" w:sz="0" w:space="0" w:color="auto"/>
        <w:bottom w:val="none" w:sz="0" w:space="0" w:color="auto"/>
        <w:right w:val="none" w:sz="0" w:space="0" w:color="auto"/>
      </w:divBdr>
    </w:div>
    <w:div w:id="208685263">
      <w:bodyDiv w:val="1"/>
      <w:marLeft w:val="0"/>
      <w:marRight w:val="0"/>
      <w:marTop w:val="0"/>
      <w:marBottom w:val="0"/>
      <w:divBdr>
        <w:top w:val="none" w:sz="0" w:space="0" w:color="auto"/>
        <w:left w:val="none" w:sz="0" w:space="0" w:color="auto"/>
        <w:bottom w:val="none" w:sz="0" w:space="0" w:color="auto"/>
        <w:right w:val="none" w:sz="0" w:space="0" w:color="auto"/>
      </w:divBdr>
      <w:divsChild>
        <w:div w:id="2135832143">
          <w:marLeft w:val="0"/>
          <w:marRight w:val="0"/>
          <w:marTop w:val="0"/>
          <w:marBottom w:val="0"/>
          <w:divBdr>
            <w:top w:val="none" w:sz="0" w:space="0" w:color="auto"/>
            <w:left w:val="none" w:sz="0" w:space="0" w:color="auto"/>
            <w:bottom w:val="none" w:sz="0" w:space="0" w:color="auto"/>
            <w:right w:val="none" w:sz="0" w:space="0" w:color="auto"/>
          </w:divBdr>
          <w:divsChild>
            <w:div w:id="32387272">
              <w:marLeft w:val="0"/>
              <w:marRight w:val="0"/>
              <w:marTop w:val="0"/>
              <w:marBottom w:val="0"/>
              <w:divBdr>
                <w:top w:val="none" w:sz="0" w:space="0" w:color="auto"/>
                <w:left w:val="none" w:sz="0" w:space="0" w:color="auto"/>
                <w:bottom w:val="none" w:sz="0" w:space="0" w:color="auto"/>
                <w:right w:val="none" w:sz="0" w:space="0" w:color="auto"/>
              </w:divBdr>
              <w:divsChild>
                <w:div w:id="2127770194">
                  <w:marLeft w:val="0"/>
                  <w:marRight w:val="0"/>
                  <w:marTop w:val="0"/>
                  <w:marBottom w:val="0"/>
                  <w:divBdr>
                    <w:top w:val="none" w:sz="0" w:space="0" w:color="auto"/>
                    <w:left w:val="none" w:sz="0" w:space="0" w:color="auto"/>
                    <w:bottom w:val="none" w:sz="0" w:space="0" w:color="auto"/>
                    <w:right w:val="none" w:sz="0" w:space="0" w:color="auto"/>
                  </w:divBdr>
                  <w:divsChild>
                    <w:div w:id="95054065">
                      <w:marLeft w:val="0"/>
                      <w:marRight w:val="0"/>
                      <w:marTop w:val="0"/>
                      <w:marBottom w:val="0"/>
                      <w:divBdr>
                        <w:top w:val="none" w:sz="0" w:space="0" w:color="auto"/>
                        <w:left w:val="none" w:sz="0" w:space="0" w:color="auto"/>
                        <w:bottom w:val="none" w:sz="0" w:space="0" w:color="auto"/>
                        <w:right w:val="none" w:sz="0" w:space="0" w:color="auto"/>
                      </w:divBdr>
                      <w:divsChild>
                        <w:div w:id="941835456">
                          <w:marLeft w:val="0"/>
                          <w:marRight w:val="0"/>
                          <w:marTop w:val="0"/>
                          <w:marBottom w:val="0"/>
                          <w:divBdr>
                            <w:top w:val="none" w:sz="0" w:space="0" w:color="auto"/>
                            <w:left w:val="none" w:sz="0" w:space="0" w:color="auto"/>
                            <w:bottom w:val="none" w:sz="0" w:space="0" w:color="auto"/>
                            <w:right w:val="none" w:sz="0" w:space="0" w:color="auto"/>
                          </w:divBdr>
                          <w:divsChild>
                            <w:div w:id="2070764085">
                              <w:marLeft w:val="0"/>
                              <w:marRight w:val="0"/>
                              <w:marTop w:val="0"/>
                              <w:marBottom w:val="0"/>
                              <w:divBdr>
                                <w:top w:val="none" w:sz="0" w:space="0" w:color="auto"/>
                                <w:left w:val="none" w:sz="0" w:space="0" w:color="auto"/>
                                <w:bottom w:val="none" w:sz="0" w:space="0" w:color="auto"/>
                                <w:right w:val="none" w:sz="0" w:space="0" w:color="auto"/>
                              </w:divBdr>
                              <w:divsChild>
                                <w:div w:id="93597833">
                                  <w:marLeft w:val="0"/>
                                  <w:marRight w:val="0"/>
                                  <w:marTop w:val="0"/>
                                  <w:marBottom w:val="0"/>
                                  <w:divBdr>
                                    <w:top w:val="none" w:sz="0" w:space="0" w:color="auto"/>
                                    <w:left w:val="none" w:sz="0" w:space="0" w:color="auto"/>
                                    <w:bottom w:val="none" w:sz="0" w:space="0" w:color="auto"/>
                                    <w:right w:val="none" w:sz="0" w:space="0" w:color="auto"/>
                                  </w:divBdr>
                                  <w:divsChild>
                                    <w:div w:id="1365523060">
                                      <w:marLeft w:val="0"/>
                                      <w:marRight w:val="0"/>
                                      <w:marTop w:val="0"/>
                                      <w:marBottom w:val="0"/>
                                      <w:divBdr>
                                        <w:top w:val="none" w:sz="0" w:space="0" w:color="auto"/>
                                        <w:left w:val="none" w:sz="0" w:space="0" w:color="auto"/>
                                        <w:bottom w:val="none" w:sz="0" w:space="0" w:color="auto"/>
                                        <w:right w:val="none" w:sz="0" w:space="0" w:color="auto"/>
                                      </w:divBdr>
                                      <w:divsChild>
                                        <w:div w:id="1732727052">
                                          <w:marLeft w:val="0"/>
                                          <w:marRight w:val="0"/>
                                          <w:marTop w:val="0"/>
                                          <w:marBottom w:val="0"/>
                                          <w:divBdr>
                                            <w:top w:val="none" w:sz="0" w:space="0" w:color="auto"/>
                                            <w:left w:val="none" w:sz="0" w:space="0" w:color="auto"/>
                                            <w:bottom w:val="none" w:sz="0" w:space="0" w:color="auto"/>
                                            <w:right w:val="none" w:sz="0" w:space="0" w:color="auto"/>
                                          </w:divBdr>
                                          <w:divsChild>
                                            <w:div w:id="707027527">
                                              <w:marLeft w:val="0"/>
                                              <w:marRight w:val="0"/>
                                              <w:marTop w:val="0"/>
                                              <w:marBottom w:val="100"/>
                                              <w:divBdr>
                                                <w:top w:val="single" w:sz="4" w:space="0" w:color="F5F5F5"/>
                                                <w:left w:val="single" w:sz="4" w:space="0" w:color="F5F5F5"/>
                                                <w:bottom w:val="single" w:sz="4" w:space="0" w:color="F5F5F5"/>
                                                <w:right w:val="single" w:sz="4" w:space="0" w:color="F5F5F5"/>
                                              </w:divBdr>
                                              <w:divsChild>
                                                <w:div w:id="1838184651">
                                                  <w:marLeft w:val="0"/>
                                                  <w:marRight w:val="0"/>
                                                  <w:marTop w:val="0"/>
                                                  <w:marBottom w:val="0"/>
                                                  <w:divBdr>
                                                    <w:top w:val="none" w:sz="0" w:space="0" w:color="auto"/>
                                                    <w:left w:val="none" w:sz="0" w:space="0" w:color="auto"/>
                                                    <w:bottom w:val="none" w:sz="0" w:space="0" w:color="auto"/>
                                                    <w:right w:val="none" w:sz="0" w:space="0" w:color="auto"/>
                                                  </w:divBdr>
                                                  <w:divsChild>
                                                    <w:div w:id="20738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07945">
      <w:bodyDiv w:val="1"/>
      <w:marLeft w:val="0"/>
      <w:marRight w:val="0"/>
      <w:marTop w:val="0"/>
      <w:marBottom w:val="0"/>
      <w:divBdr>
        <w:top w:val="none" w:sz="0" w:space="0" w:color="auto"/>
        <w:left w:val="none" w:sz="0" w:space="0" w:color="auto"/>
        <w:bottom w:val="none" w:sz="0" w:space="0" w:color="auto"/>
        <w:right w:val="none" w:sz="0" w:space="0" w:color="auto"/>
      </w:divBdr>
    </w:div>
    <w:div w:id="251471937">
      <w:bodyDiv w:val="1"/>
      <w:marLeft w:val="0"/>
      <w:marRight w:val="0"/>
      <w:marTop w:val="0"/>
      <w:marBottom w:val="0"/>
      <w:divBdr>
        <w:top w:val="none" w:sz="0" w:space="0" w:color="auto"/>
        <w:left w:val="none" w:sz="0" w:space="0" w:color="auto"/>
        <w:bottom w:val="none" w:sz="0" w:space="0" w:color="auto"/>
        <w:right w:val="none" w:sz="0" w:space="0" w:color="auto"/>
      </w:divBdr>
    </w:div>
    <w:div w:id="273055011">
      <w:bodyDiv w:val="1"/>
      <w:marLeft w:val="0"/>
      <w:marRight w:val="0"/>
      <w:marTop w:val="0"/>
      <w:marBottom w:val="0"/>
      <w:divBdr>
        <w:top w:val="none" w:sz="0" w:space="0" w:color="auto"/>
        <w:left w:val="none" w:sz="0" w:space="0" w:color="auto"/>
        <w:bottom w:val="none" w:sz="0" w:space="0" w:color="auto"/>
        <w:right w:val="none" w:sz="0" w:space="0" w:color="auto"/>
      </w:divBdr>
    </w:div>
    <w:div w:id="290018485">
      <w:bodyDiv w:val="1"/>
      <w:marLeft w:val="0"/>
      <w:marRight w:val="0"/>
      <w:marTop w:val="0"/>
      <w:marBottom w:val="0"/>
      <w:divBdr>
        <w:top w:val="none" w:sz="0" w:space="0" w:color="auto"/>
        <w:left w:val="none" w:sz="0" w:space="0" w:color="auto"/>
        <w:bottom w:val="none" w:sz="0" w:space="0" w:color="auto"/>
        <w:right w:val="none" w:sz="0" w:space="0" w:color="auto"/>
      </w:divBdr>
    </w:div>
    <w:div w:id="298458470">
      <w:bodyDiv w:val="1"/>
      <w:marLeft w:val="0"/>
      <w:marRight w:val="0"/>
      <w:marTop w:val="0"/>
      <w:marBottom w:val="0"/>
      <w:divBdr>
        <w:top w:val="none" w:sz="0" w:space="0" w:color="auto"/>
        <w:left w:val="none" w:sz="0" w:space="0" w:color="auto"/>
        <w:bottom w:val="none" w:sz="0" w:space="0" w:color="auto"/>
        <w:right w:val="none" w:sz="0" w:space="0" w:color="auto"/>
      </w:divBdr>
    </w:div>
    <w:div w:id="305937763">
      <w:bodyDiv w:val="1"/>
      <w:marLeft w:val="0"/>
      <w:marRight w:val="0"/>
      <w:marTop w:val="0"/>
      <w:marBottom w:val="0"/>
      <w:divBdr>
        <w:top w:val="none" w:sz="0" w:space="0" w:color="auto"/>
        <w:left w:val="none" w:sz="0" w:space="0" w:color="auto"/>
        <w:bottom w:val="none" w:sz="0" w:space="0" w:color="auto"/>
        <w:right w:val="none" w:sz="0" w:space="0" w:color="auto"/>
      </w:divBdr>
    </w:div>
    <w:div w:id="307709135">
      <w:bodyDiv w:val="1"/>
      <w:marLeft w:val="0"/>
      <w:marRight w:val="0"/>
      <w:marTop w:val="0"/>
      <w:marBottom w:val="0"/>
      <w:divBdr>
        <w:top w:val="none" w:sz="0" w:space="0" w:color="auto"/>
        <w:left w:val="none" w:sz="0" w:space="0" w:color="auto"/>
        <w:bottom w:val="none" w:sz="0" w:space="0" w:color="auto"/>
        <w:right w:val="none" w:sz="0" w:space="0" w:color="auto"/>
      </w:divBdr>
    </w:div>
    <w:div w:id="389622825">
      <w:bodyDiv w:val="1"/>
      <w:marLeft w:val="0"/>
      <w:marRight w:val="0"/>
      <w:marTop w:val="0"/>
      <w:marBottom w:val="0"/>
      <w:divBdr>
        <w:top w:val="none" w:sz="0" w:space="0" w:color="auto"/>
        <w:left w:val="none" w:sz="0" w:space="0" w:color="auto"/>
        <w:bottom w:val="none" w:sz="0" w:space="0" w:color="auto"/>
        <w:right w:val="none" w:sz="0" w:space="0" w:color="auto"/>
      </w:divBdr>
    </w:div>
    <w:div w:id="393436484">
      <w:bodyDiv w:val="1"/>
      <w:marLeft w:val="0"/>
      <w:marRight w:val="0"/>
      <w:marTop w:val="0"/>
      <w:marBottom w:val="0"/>
      <w:divBdr>
        <w:top w:val="none" w:sz="0" w:space="0" w:color="auto"/>
        <w:left w:val="none" w:sz="0" w:space="0" w:color="auto"/>
        <w:bottom w:val="none" w:sz="0" w:space="0" w:color="auto"/>
        <w:right w:val="none" w:sz="0" w:space="0" w:color="auto"/>
      </w:divBdr>
    </w:div>
    <w:div w:id="402027158">
      <w:bodyDiv w:val="1"/>
      <w:marLeft w:val="0"/>
      <w:marRight w:val="0"/>
      <w:marTop w:val="0"/>
      <w:marBottom w:val="0"/>
      <w:divBdr>
        <w:top w:val="none" w:sz="0" w:space="0" w:color="auto"/>
        <w:left w:val="none" w:sz="0" w:space="0" w:color="auto"/>
        <w:bottom w:val="none" w:sz="0" w:space="0" w:color="auto"/>
        <w:right w:val="none" w:sz="0" w:space="0" w:color="auto"/>
      </w:divBdr>
    </w:div>
    <w:div w:id="481046128">
      <w:bodyDiv w:val="1"/>
      <w:marLeft w:val="0"/>
      <w:marRight w:val="0"/>
      <w:marTop w:val="0"/>
      <w:marBottom w:val="0"/>
      <w:divBdr>
        <w:top w:val="none" w:sz="0" w:space="0" w:color="auto"/>
        <w:left w:val="none" w:sz="0" w:space="0" w:color="auto"/>
        <w:bottom w:val="none" w:sz="0" w:space="0" w:color="auto"/>
        <w:right w:val="none" w:sz="0" w:space="0" w:color="auto"/>
      </w:divBdr>
    </w:div>
    <w:div w:id="521166683">
      <w:bodyDiv w:val="1"/>
      <w:marLeft w:val="0"/>
      <w:marRight w:val="0"/>
      <w:marTop w:val="0"/>
      <w:marBottom w:val="0"/>
      <w:divBdr>
        <w:top w:val="none" w:sz="0" w:space="0" w:color="auto"/>
        <w:left w:val="none" w:sz="0" w:space="0" w:color="auto"/>
        <w:bottom w:val="none" w:sz="0" w:space="0" w:color="auto"/>
        <w:right w:val="none" w:sz="0" w:space="0" w:color="auto"/>
      </w:divBdr>
    </w:div>
    <w:div w:id="635530632">
      <w:bodyDiv w:val="1"/>
      <w:marLeft w:val="0"/>
      <w:marRight w:val="0"/>
      <w:marTop w:val="0"/>
      <w:marBottom w:val="0"/>
      <w:divBdr>
        <w:top w:val="none" w:sz="0" w:space="0" w:color="auto"/>
        <w:left w:val="none" w:sz="0" w:space="0" w:color="auto"/>
        <w:bottom w:val="none" w:sz="0" w:space="0" w:color="auto"/>
        <w:right w:val="none" w:sz="0" w:space="0" w:color="auto"/>
      </w:divBdr>
    </w:div>
    <w:div w:id="666204262">
      <w:bodyDiv w:val="1"/>
      <w:marLeft w:val="0"/>
      <w:marRight w:val="0"/>
      <w:marTop w:val="0"/>
      <w:marBottom w:val="0"/>
      <w:divBdr>
        <w:top w:val="none" w:sz="0" w:space="0" w:color="auto"/>
        <w:left w:val="none" w:sz="0" w:space="0" w:color="auto"/>
        <w:bottom w:val="none" w:sz="0" w:space="0" w:color="auto"/>
        <w:right w:val="none" w:sz="0" w:space="0" w:color="auto"/>
      </w:divBdr>
    </w:div>
    <w:div w:id="683286247">
      <w:bodyDiv w:val="1"/>
      <w:marLeft w:val="0"/>
      <w:marRight w:val="0"/>
      <w:marTop w:val="0"/>
      <w:marBottom w:val="0"/>
      <w:divBdr>
        <w:top w:val="none" w:sz="0" w:space="0" w:color="auto"/>
        <w:left w:val="none" w:sz="0" w:space="0" w:color="auto"/>
        <w:bottom w:val="none" w:sz="0" w:space="0" w:color="auto"/>
        <w:right w:val="none" w:sz="0" w:space="0" w:color="auto"/>
      </w:divBdr>
    </w:div>
    <w:div w:id="824005979">
      <w:bodyDiv w:val="1"/>
      <w:marLeft w:val="0"/>
      <w:marRight w:val="0"/>
      <w:marTop w:val="0"/>
      <w:marBottom w:val="0"/>
      <w:divBdr>
        <w:top w:val="none" w:sz="0" w:space="0" w:color="auto"/>
        <w:left w:val="none" w:sz="0" w:space="0" w:color="auto"/>
        <w:bottom w:val="none" w:sz="0" w:space="0" w:color="auto"/>
        <w:right w:val="none" w:sz="0" w:space="0" w:color="auto"/>
      </w:divBdr>
    </w:div>
    <w:div w:id="830948340">
      <w:bodyDiv w:val="1"/>
      <w:marLeft w:val="0"/>
      <w:marRight w:val="0"/>
      <w:marTop w:val="0"/>
      <w:marBottom w:val="0"/>
      <w:divBdr>
        <w:top w:val="none" w:sz="0" w:space="0" w:color="auto"/>
        <w:left w:val="none" w:sz="0" w:space="0" w:color="auto"/>
        <w:bottom w:val="none" w:sz="0" w:space="0" w:color="auto"/>
        <w:right w:val="none" w:sz="0" w:space="0" w:color="auto"/>
      </w:divBdr>
    </w:div>
    <w:div w:id="895821436">
      <w:bodyDiv w:val="1"/>
      <w:marLeft w:val="0"/>
      <w:marRight w:val="0"/>
      <w:marTop w:val="0"/>
      <w:marBottom w:val="0"/>
      <w:divBdr>
        <w:top w:val="none" w:sz="0" w:space="0" w:color="auto"/>
        <w:left w:val="none" w:sz="0" w:space="0" w:color="auto"/>
        <w:bottom w:val="none" w:sz="0" w:space="0" w:color="auto"/>
        <w:right w:val="none" w:sz="0" w:space="0" w:color="auto"/>
      </w:divBdr>
    </w:div>
    <w:div w:id="920649806">
      <w:bodyDiv w:val="1"/>
      <w:marLeft w:val="0"/>
      <w:marRight w:val="0"/>
      <w:marTop w:val="0"/>
      <w:marBottom w:val="0"/>
      <w:divBdr>
        <w:top w:val="none" w:sz="0" w:space="0" w:color="auto"/>
        <w:left w:val="none" w:sz="0" w:space="0" w:color="auto"/>
        <w:bottom w:val="none" w:sz="0" w:space="0" w:color="auto"/>
        <w:right w:val="none" w:sz="0" w:space="0" w:color="auto"/>
      </w:divBdr>
    </w:div>
    <w:div w:id="939489062">
      <w:bodyDiv w:val="1"/>
      <w:marLeft w:val="0"/>
      <w:marRight w:val="0"/>
      <w:marTop w:val="0"/>
      <w:marBottom w:val="0"/>
      <w:divBdr>
        <w:top w:val="none" w:sz="0" w:space="0" w:color="auto"/>
        <w:left w:val="none" w:sz="0" w:space="0" w:color="auto"/>
        <w:bottom w:val="none" w:sz="0" w:space="0" w:color="auto"/>
        <w:right w:val="none" w:sz="0" w:space="0" w:color="auto"/>
      </w:divBdr>
    </w:div>
    <w:div w:id="951743690">
      <w:bodyDiv w:val="1"/>
      <w:marLeft w:val="0"/>
      <w:marRight w:val="0"/>
      <w:marTop w:val="0"/>
      <w:marBottom w:val="0"/>
      <w:divBdr>
        <w:top w:val="none" w:sz="0" w:space="0" w:color="auto"/>
        <w:left w:val="none" w:sz="0" w:space="0" w:color="auto"/>
        <w:bottom w:val="none" w:sz="0" w:space="0" w:color="auto"/>
        <w:right w:val="none" w:sz="0" w:space="0" w:color="auto"/>
      </w:divBdr>
    </w:div>
    <w:div w:id="974677507">
      <w:bodyDiv w:val="1"/>
      <w:marLeft w:val="0"/>
      <w:marRight w:val="0"/>
      <w:marTop w:val="0"/>
      <w:marBottom w:val="0"/>
      <w:divBdr>
        <w:top w:val="none" w:sz="0" w:space="0" w:color="auto"/>
        <w:left w:val="none" w:sz="0" w:space="0" w:color="auto"/>
        <w:bottom w:val="none" w:sz="0" w:space="0" w:color="auto"/>
        <w:right w:val="none" w:sz="0" w:space="0" w:color="auto"/>
      </w:divBdr>
    </w:div>
    <w:div w:id="1084573563">
      <w:bodyDiv w:val="1"/>
      <w:marLeft w:val="0"/>
      <w:marRight w:val="0"/>
      <w:marTop w:val="0"/>
      <w:marBottom w:val="0"/>
      <w:divBdr>
        <w:top w:val="none" w:sz="0" w:space="0" w:color="auto"/>
        <w:left w:val="none" w:sz="0" w:space="0" w:color="auto"/>
        <w:bottom w:val="none" w:sz="0" w:space="0" w:color="auto"/>
        <w:right w:val="none" w:sz="0" w:space="0" w:color="auto"/>
      </w:divBdr>
    </w:div>
    <w:div w:id="1087118225">
      <w:bodyDiv w:val="1"/>
      <w:marLeft w:val="0"/>
      <w:marRight w:val="0"/>
      <w:marTop w:val="0"/>
      <w:marBottom w:val="0"/>
      <w:divBdr>
        <w:top w:val="none" w:sz="0" w:space="0" w:color="auto"/>
        <w:left w:val="none" w:sz="0" w:space="0" w:color="auto"/>
        <w:bottom w:val="none" w:sz="0" w:space="0" w:color="auto"/>
        <w:right w:val="none" w:sz="0" w:space="0" w:color="auto"/>
      </w:divBdr>
    </w:div>
    <w:div w:id="1095128213">
      <w:bodyDiv w:val="1"/>
      <w:marLeft w:val="0"/>
      <w:marRight w:val="0"/>
      <w:marTop w:val="0"/>
      <w:marBottom w:val="0"/>
      <w:divBdr>
        <w:top w:val="none" w:sz="0" w:space="0" w:color="auto"/>
        <w:left w:val="none" w:sz="0" w:space="0" w:color="auto"/>
        <w:bottom w:val="none" w:sz="0" w:space="0" w:color="auto"/>
        <w:right w:val="none" w:sz="0" w:space="0" w:color="auto"/>
      </w:divBdr>
    </w:div>
    <w:div w:id="1112165985">
      <w:bodyDiv w:val="1"/>
      <w:marLeft w:val="0"/>
      <w:marRight w:val="0"/>
      <w:marTop w:val="0"/>
      <w:marBottom w:val="0"/>
      <w:divBdr>
        <w:top w:val="none" w:sz="0" w:space="0" w:color="auto"/>
        <w:left w:val="none" w:sz="0" w:space="0" w:color="auto"/>
        <w:bottom w:val="none" w:sz="0" w:space="0" w:color="auto"/>
        <w:right w:val="none" w:sz="0" w:space="0" w:color="auto"/>
      </w:divBdr>
    </w:div>
    <w:div w:id="1120345556">
      <w:bodyDiv w:val="1"/>
      <w:marLeft w:val="0"/>
      <w:marRight w:val="0"/>
      <w:marTop w:val="0"/>
      <w:marBottom w:val="0"/>
      <w:divBdr>
        <w:top w:val="none" w:sz="0" w:space="0" w:color="auto"/>
        <w:left w:val="none" w:sz="0" w:space="0" w:color="auto"/>
        <w:bottom w:val="none" w:sz="0" w:space="0" w:color="auto"/>
        <w:right w:val="none" w:sz="0" w:space="0" w:color="auto"/>
      </w:divBdr>
    </w:div>
    <w:div w:id="1122117527">
      <w:bodyDiv w:val="1"/>
      <w:marLeft w:val="0"/>
      <w:marRight w:val="0"/>
      <w:marTop w:val="0"/>
      <w:marBottom w:val="0"/>
      <w:divBdr>
        <w:top w:val="none" w:sz="0" w:space="0" w:color="auto"/>
        <w:left w:val="none" w:sz="0" w:space="0" w:color="auto"/>
        <w:bottom w:val="none" w:sz="0" w:space="0" w:color="auto"/>
        <w:right w:val="none" w:sz="0" w:space="0" w:color="auto"/>
      </w:divBdr>
    </w:div>
    <w:div w:id="1198154186">
      <w:bodyDiv w:val="1"/>
      <w:marLeft w:val="0"/>
      <w:marRight w:val="0"/>
      <w:marTop w:val="0"/>
      <w:marBottom w:val="0"/>
      <w:divBdr>
        <w:top w:val="none" w:sz="0" w:space="0" w:color="auto"/>
        <w:left w:val="none" w:sz="0" w:space="0" w:color="auto"/>
        <w:bottom w:val="none" w:sz="0" w:space="0" w:color="auto"/>
        <w:right w:val="none" w:sz="0" w:space="0" w:color="auto"/>
      </w:divBdr>
    </w:div>
    <w:div w:id="1278174294">
      <w:bodyDiv w:val="1"/>
      <w:marLeft w:val="0"/>
      <w:marRight w:val="0"/>
      <w:marTop w:val="0"/>
      <w:marBottom w:val="0"/>
      <w:divBdr>
        <w:top w:val="none" w:sz="0" w:space="0" w:color="auto"/>
        <w:left w:val="none" w:sz="0" w:space="0" w:color="auto"/>
        <w:bottom w:val="none" w:sz="0" w:space="0" w:color="auto"/>
        <w:right w:val="none" w:sz="0" w:space="0" w:color="auto"/>
      </w:divBdr>
    </w:div>
    <w:div w:id="1394692799">
      <w:bodyDiv w:val="1"/>
      <w:marLeft w:val="0"/>
      <w:marRight w:val="0"/>
      <w:marTop w:val="0"/>
      <w:marBottom w:val="0"/>
      <w:divBdr>
        <w:top w:val="none" w:sz="0" w:space="0" w:color="auto"/>
        <w:left w:val="none" w:sz="0" w:space="0" w:color="auto"/>
        <w:bottom w:val="none" w:sz="0" w:space="0" w:color="auto"/>
        <w:right w:val="none" w:sz="0" w:space="0" w:color="auto"/>
      </w:divBdr>
    </w:div>
    <w:div w:id="1418361379">
      <w:bodyDiv w:val="1"/>
      <w:marLeft w:val="0"/>
      <w:marRight w:val="0"/>
      <w:marTop w:val="0"/>
      <w:marBottom w:val="0"/>
      <w:divBdr>
        <w:top w:val="none" w:sz="0" w:space="0" w:color="auto"/>
        <w:left w:val="none" w:sz="0" w:space="0" w:color="auto"/>
        <w:bottom w:val="none" w:sz="0" w:space="0" w:color="auto"/>
        <w:right w:val="none" w:sz="0" w:space="0" w:color="auto"/>
      </w:divBdr>
    </w:div>
    <w:div w:id="1475562541">
      <w:bodyDiv w:val="1"/>
      <w:marLeft w:val="0"/>
      <w:marRight w:val="0"/>
      <w:marTop w:val="0"/>
      <w:marBottom w:val="0"/>
      <w:divBdr>
        <w:top w:val="none" w:sz="0" w:space="0" w:color="auto"/>
        <w:left w:val="none" w:sz="0" w:space="0" w:color="auto"/>
        <w:bottom w:val="none" w:sz="0" w:space="0" w:color="auto"/>
        <w:right w:val="none" w:sz="0" w:space="0" w:color="auto"/>
      </w:divBdr>
    </w:div>
    <w:div w:id="1484196901">
      <w:bodyDiv w:val="1"/>
      <w:marLeft w:val="0"/>
      <w:marRight w:val="0"/>
      <w:marTop w:val="0"/>
      <w:marBottom w:val="0"/>
      <w:divBdr>
        <w:top w:val="none" w:sz="0" w:space="0" w:color="auto"/>
        <w:left w:val="none" w:sz="0" w:space="0" w:color="auto"/>
        <w:bottom w:val="none" w:sz="0" w:space="0" w:color="auto"/>
        <w:right w:val="none" w:sz="0" w:space="0" w:color="auto"/>
      </w:divBdr>
    </w:div>
    <w:div w:id="1506358380">
      <w:bodyDiv w:val="1"/>
      <w:marLeft w:val="0"/>
      <w:marRight w:val="0"/>
      <w:marTop w:val="0"/>
      <w:marBottom w:val="0"/>
      <w:divBdr>
        <w:top w:val="none" w:sz="0" w:space="0" w:color="auto"/>
        <w:left w:val="none" w:sz="0" w:space="0" w:color="auto"/>
        <w:bottom w:val="none" w:sz="0" w:space="0" w:color="auto"/>
        <w:right w:val="none" w:sz="0" w:space="0" w:color="auto"/>
      </w:divBdr>
    </w:div>
    <w:div w:id="1535383630">
      <w:bodyDiv w:val="1"/>
      <w:marLeft w:val="0"/>
      <w:marRight w:val="0"/>
      <w:marTop w:val="0"/>
      <w:marBottom w:val="0"/>
      <w:divBdr>
        <w:top w:val="none" w:sz="0" w:space="0" w:color="auto"/>
        <w:left w:val="none" w:sz="0" w:space="0" w:color="auto"/>
        <w:bottom w:val="none" w:sz="0" w:space="0" w:color="auto"/>
        <w:right w:val="none" w:sz="0" w:space="0" w:color="auto"/>
      </w:divBdr>
    </w:div>
    <w:div w:id="1551695940">
      <w:bodyDiv w:val="1"/>
      <w:marLeft w:val="0"/>
      <w:marRight w:val="0"/>
      <w:marTop w:val="0"/>
      <w:marBottom w:val="0"/>
      <w:divBdr>
        <w:top w:val="none" w:sz="0" w:space="0" w:color="auto"/>
        <w:left w:val="none" w:sz="0" w:space="0" w:color="auto"/>
        <w:bottom w:val="none" w:sz="0" w:space="0" w:color="auto"/>
        <w:right w:val="none" w:sz="0" w:space="0" w:color="auto"/>
      </w:divBdr>
    </w:div>
    <w:div w:id="1564675845">
      <w:bodyDiv w:val="1"/>
      <w:marLeft w:val="0"/>
      <w:marRight w:val="0"/>
      <w:marTop w:val="0"/>
      <w:marBottom w:val="0"/>
      <w:divBdr>
        <w:top w:val="none" w:sz="0" w:space="0" w:color="auto"/>
        <w:left w:val="none" w:sz="0" w:space="0" w:color="auto"/>
        <w:bottom w:val="none" w:sz="0" w:space="0" w:color="auto"/>
        <w:right w:val="none" w:sz="0" w:space="0" w:color="auto"/>
      </w:divBdr>
    </w:div>
    <w:div w:id="1620842821">
      <w:bodyDiv w:val="1"/>
      <w:marLeft w:val="0"/>
      <w:marRight w:val="0"/>
      <w:marTop w:val="0"/>
      <w:marBottom w:val="0"/>
      <w:divBdr>
        <w:top w:val="none" w:sz="0" w:space="0" w:color="auto"/>
        <w:left w:val="none" w:sz="0" w:space="0" w:color="auto"/>
        <w:bottom w:val="none" w:sz="0" w:space="0" w:color="auto"/>
        <w:right w:val="none" w:sz="0" w:space="0" w:color="auto"/>
      </w:divBdr>
    </w:div>
    <w:div w:id="1624648723">
      <w:bodyDiv w:val="1"/>
      <w:marLeft w:val="0"/>
      <w:marRight w:val="0"/>
      <w:marTop w:val="0"/>
      <w:marBottom w:val="0"/>
      <w:divBdr>
        <w:top w:val="none" w:sz="0" w:space="0" w:color="auto"/>
        <w:left w:val="none" w:sz="0" w:space="0" w:color="auto"/>
        <w:bottom w:val="none" w:sz="0" w:space="0" w:color="auto"/>
        <w:right w:val="none" w:sz="0" w:space="0" w:color="auto"/>
      </w:divBdr>
    </w:div>
    <w:div w:id="1630091826">
      <w:bodyDiv w:val="1"/>
      <w:marLeft w:val="0"/>
      <w:marRight w:val="0"/>
      <w:marTop w:val="0"/>
      <w:marBottom w:val="0"/>
      <w:divBdr>
        <w:top w:val="none" w:sz="0" w:space="0" w:color="auto"/>
        <w:left w:val="none" w:sz="0" w:space="0" w:color="auto"/>
        <w:bottom w:val="none" w:sz="0" w:space="0" w:color="auto"/>
        <w:right w:val="none" w:sz="0" w:space="0" w:color="auto"/>
      </w:divBdr>
    </w:div>
    <w:div w:id="1650134821">
      <w:bodyDiv w:val="1"/>
      <w:marLeft w:val="0"/>
      <w:marRight w:val="0"/>
      <w:marTop w:val="0"/>
      <w:marBottom w:val="0"/>
      <w:divBdr>
        <w:top w:val="none" w:sz="0" w:space="0" w:color="auto"/>
        <w:left w:val="none" w:sz="0" w:space="0" w:color="auto"/>
        <w:bottom w:val="none" w:sz="0" w:space="0" w:color="auto"/>
        <w:right w:val="none" w:sz="0" w:space="0" w:color="auto"/>
      </w:divBdr>
    </w:div>
    <w:div w:id="1668094531">
      <w:bodyDiv w:val="1"/>
      <w:marLeft w:val="0"/>
      <w:marRight w:val="0"/>
      <w:marTop w:val="0"/>
      <w:marBottom w:val="0"/>
      <w:divBdr>
        <w:top w:val="none" w:sz="0" w:space="0" w:color="auto"/>
        <w:left w:val="none" w:sz="0" w:space="0" w:color="auto"/>
        <w:bottom w:val="none" w:sz="0" w:space="0" w:color="auto"/>
        <w:right w:val="none" w:sz="0" w:space="0" w:color="auto"/>
      </w:divBdr>
    </w:div>
    <w:div w:id="1677077869">
      <w:bodyDiv w:val="1"/>
      <w:marLeft w:val="0"/>
      <w:marRight w:val="0"/>
      <w:marTop w:val="0"/>
      <w:marBottom w:val="0"/>
      <w:divBdr>
        <w:top w:val="none" w:sz="0" w:space="0" w:color="auto"/>
        <w:left w:val="none" w:sz="0" w:space="0" w:color="auto"/>
        <w:bottom w:val="none" w:sz="0" w:space="0" w:color="auto"/>
        <w:right w:val="none" w:sz="0" w:space="0" w:color="auto"/>
      </w:divBdr>
    </w:div>
    <w:div w:id="1682974233">
      <w:bodyDiv w:val="1"/>
      <w:marLeft w:val="0"/>
      <w:marRight w:val="0"/>
      <w:marTop w:val="0"/>
      <w:marBottom w:val="0"/>
      <w:divBdr>
        <w:top w:val="none" w:sz="0" w:space="0" w:color="auto"/>
        <w:left w:val="none" w:sz="0" w:space="0" w:color="auto"/>
        <w:bottom w:val="none" w:sz="0" w:space="0" w:color="auto"/>
        <w:right w:val="none" w:sz="0" w:space="0" w:color="auto"/>
      </w:divBdr>
    </w:div>
    <w:div w:id="1685741953">
      <w:bodyDiv w:val="1"/>
      <w:marLeft w:val="0"/>
      <w:marRight w:val="0"/>
      <w:marTop w:val="0"/>
      <w:marBottom w:val="0"/>
      <w:divBdr>
        <w:top w:val="none" w:sz="0" w:space="0" w:color="auto"/>
        <w:left w:val="none" w:sz="0" w:space="0" w:color="auto"/>
        <w:bottom w:val="none" w:sz="0" w:space="0" w:color="auto"/>
        <w:right w:val="none" w:sz="0" w:space="0" w:color="auto"/>
      </w:divBdr>
    </w:div>
    <w:div w:id="1751270343">
      <w:bodyDiv w:val="1"/>
      <w:marLeft w:val="0"/>
      <w:marRight w:val="0"/>
      <w:marTop w:val="0"/>
      <w:marBottom w:val="0"/>
      <w:divBdr>
        <w:top w:val="none" w:sz="0" w:space="0" w:color="auto"/>
        <w:left w:val="none" w:sz="0" w:space="0" w:color="auto"/>
        <w:bottom w:val="none" w:sz="0" w:space="0" w:color="auto"/>
        <w:right w:val="none" w:sz="0" w:space="0" w:color="auto"/>
      </w:divBdr>
    </w:div>
    <w:div w:id="1788546184">
      <w:bodyDiv w:val="1"/>
      <w:marLeft w:val="0"/>
      <w:marRight w:val="0"/>
      <w:marTop w:val="0"/>
      <w:marBottom w:val="0"/>
      <w:divBdr>
        <w:top w:val="none" w:sz="0" w:space="0" w:color="auto"/>
        <w:left w:val="none" w:sz="0" w:space="0" w:color="auto"/>
        <w:bottom w:val="none" w:sz="0" w:space="0" w:color="auto"/>
        <w:right w:val="none" w:sz="0" w:space="0" w:color="auto"/>
      </w:divBdr>
    </w:div>
    <w:div w:id="1798446548">
      <w:bodyDiv w:val="1"/>
      <w:marLeft w:val="0"/>
      <w:marRight w:val="0"/>
      <w:marTop w:val="0"/>
      <w:marBottom w:val="0"/>
      <w:divBdr>
        <w:top w:val="none" w:sz="0" w:space="0" w:color="auto"/>
        <w:left w:val="none" w:sz="0" w:space="0" w:color="auto"/>
        <w:bottom w:val="none" w:sz="0" w:space="0" w:color="auto"/>
        <w:right w:val="none" w:sz="0" w:space="0" w:color="auto"/>
      </w:divBdr>
    </w:div>
    <w:div w:id="1834100295">
      <w:bodyDiv w:val="1"/>
      <w:marLeft w:val="0"/>
      <w:marRight w:val="0"/>
      <w:marTop w:val="0"/>
      <w:marBottom w:val="0"/>
      <w:divBdr>
        <w:top w:val="none" w:sz="0" w:space="0" w:color="auto"/>
        <w:left w:val="none" w:sz="0" w:space="0" w:color="auto"/>
        <w:bottom w:val="none" w:sz="0" w:space="0" w:color="auto"/>
        <w:right w:val="none" w:sz="0" w:space="0" w:color="auto"/>
      </w:divBdr>
    </w:div>
    <w:div w:id="1856840264">
      <w:bodyDiv w:val="1"/>
      <w:marLeft w:val="0"/>
      <w:marRight w:val="0"/>
      <w:marTop w:val="0"/>
      <w:marBottom w:val="0"/>
      <w:divBdr>
        <w:top w:val="none" w:sz="0" w:space="0" w:color="auto"/>
        <w:left w:val="none" w:sz="0" w:space="0" w:color="auto"/>
        <w:bottom w:val="none" w:sz="0" w:space="0" w:color="auto"/>
        <w:right w:val="none" w:sz="0" w:space="0" w:color="auto"/>
      </w:divBdr>
    </w:div>
    <w:div w:id="1906600650">
      <w:bodyDiv w:val="1"/>
      <w:marLeft w:val="0"/>
      <w:marRight w:val="0"/>
      <w:marTop w:val="0"/>
      <w:marBottom w:val="0"/>
      <w:divBdr>
        <w:top w:val="none" w:sz="0" w:space="0" w:color="auto"/>
        <w:left w:val="none" w:sz="0" w:space="0" w:color="auto"/>
        <w:bottom w:val="none" w:sz="0" w:space="0" w:color="auto"/>
        <w:right w:val="none" w:sz="0" w:space="0" w:color="auto"/>
      </w:divBdr>
    </w:div>
    <w:div w:id="1925139878">
      <w:bodyDiv w:val="1"/>
      <w:marLeft w:val="0"/>
      <w:marRight w:val="0"/>
      <w:marTop w:val="0"/>
      <w:marBottom w:val="0"/>
      <w:divBdr>
        <w:top w:val="none" w:sz="0" w:space="0" w:color="auto"/>
        <w:left w:val="none" w:sz="0" w:space="0" w:color="auto"/>
        <w:bottom w:val="none" w:sz="0" w:space="0" w:color="auto"/>
        <w:right w:val="none" w:sz="0" w:space="0" w:color="auto"/>
      </w:divBdr>
    </w:div>
    <w:div w:id="1925529311">
      <w:bodyDiv w:val="1"/>
      <w:marLeft w:val="0"/>
      <w:marRight w:val="0"/>
      <w:marTop w:val="0"/>
      <w:marBottom w:val="0"/>
      <w:divBdr>
        <w:top w:val="none" w:sz="0" w:space="0" w:color="auto"/>
        <w:left w:val="none" w:sz="0" w:space="0" w:color="auto"/>
        <w:bottom w:val="none" w:sz="0" w:space="0" w:color="auto"/>
        <w:right w:val="none" w:sz="0" w:space="0" w:color="auto"/>
      </w:divBdr>
    </w:div>
    <w:div w:id="2017263804">
      <w:bodyDiv w:val="1"/>
      <w:marLeft w:val="0"/>
      <w:marRight w:val="0"/>
      <w:marTop w:val="0"/>
      <w:marBottom w:val="0"/>
      <w:divBdr>
        <w:top w:val="none" w:sz="0" w:space="0" w:color="auto"/>
        <w:left w:val="none" w:sz="0" w:space="0" w:color="auto"/>
        <w:bottom w:val="none" w:sz="0" w:space="0" w:color="auto"/>
        <w:right w:val="none" w:sz="0" w:space="0" w:color="auto"/>
      </w:divBdr>
    </w:div>
    <w:div w:id="2034073318">
      <w:bodyDiv w:val="1"/>
      <w:marLeft w:val="0"/>
      <w:marRight w:val="0"/>
      <w:marTop w:val="0"/>
      <w:marBottom w:val="0"/>
      <w:divBdr>
        <w:top w:val="none" w:sz="0" w:space="0" w:color="auto"/>
        <w:left w:val="none" w:sz="0" w:space="0" w:color="auto"/>
        <w:bottom w:val="none" w:sz="0" w:space="0" w:color="auto"/>
        <w:right w:val="none" w:sz="0" w:space="0" w:color="auto"/>
      </w:divBdr>
    </w:div>
    <w:div w:id="2037415477">
      <w:bodyDiv w:val="1"/>
      <w:marLeft w:val="0"/>
      <w:marRight w:val="0"/>
      <w:marTop w:val="0"/>
      <w:marBottom w:val="0"/>
      <w:divBdr>
        <w:top w:val="none" w:sz="0" w:space="0" w:color="auto"/>
        <w:left w:val="none" w:sz="0" w:space="0" w:color="auto"/>
        <w:bottom w:val="none" w:sz="0" w:space="0" w:color="auto"/>
        <w:right w:val="none" w:sz="0" w:space="0" w:color="auto"/>
      </w:divBdr>
    </w:div>
    <w:div w:id="2037462666">
      <w:bodyDiv w:val="1"/>
      <w:marLeft w:val="0"/>
      <w:marRight w:val="0"/>
      <w:marTop w:val="0"/>
      <w:marBottom w:val="0"/>
      <w:divBdr>
        <w:top w:val="none" w:sz="0" w:space="0" w:color="auto"/>
        <w:left w:val="none" w:sz="0" w:space="0" w:color="auto"/>
        <w:bottom w:val="none" w:sz="0" w:space="0" w:color="auto"/>
        <w:right w:val="none" w:sz="0" w:space="0" w:color="auto"/>
      </w:divBdr>
    </w:div>
    <w:div w:id="2047094116">
      <w:bodyDiv w:val="1"/>
      <w:marLeft w:val="0"/>
      <w:marRight w:val="0"/>
      <w:marTop w:val="0"/>
      <w:marBottom w:val="0"/>
      <w:divBdr>
        <w:top w:val="none" w:sz="0" w:space="0" w:color="auto"/>
        <w:left w:val="none" w:sz="0" w:space="0" w:color="auto"/>
        <w:bottom w:val="none" w:sz="0" w:space="0" w:color="auto"/>
        <w:right w:val="none" w:sz="0" w:space="0" w:color="auto"/>
      </w:divBdr>
    </w:div>
    <w:div w:id="2077702502">
      <w:bodyDiv w:val="1"/>
      <w:marLeft w:val="0"/>
      <w:marRight w:val="0"/>
      <w:marTop w:val="0"/>
      <w:marBottom w:val="0"/>
      <w:divBdr>
        <w:top w:val="none" w:sz="0" w:space="0" w:color="auto"/>
        <w:left w:val="none" w:sz="0" w:space="0" w:color="auto"/>
        <w:bottom w:val="none" w:sz="0" w:space="0" w:color="auto"/>
        <w:right w:val="none" w:sz="0" w:space="0" w:color="auto"/>
      </w:divBdr>
    </w:div>
    <w:div w:id="2091849835">
      <w:bodyDiv w:val="1"/>
      <w:marLeft w:val="0"/>
      <w:marRight w:val="0"/>
      <w:marTop w:val="0"/>
      <w:marBottom w:val="0"/>
      <w:divBdr>
        <w:top w:val="none" w:sz="0" w:space="0" w:color="auto"/>
        <w:left w:val="none" w:sz="0" w:space="0" w:color="auto"/>
        <w:bottom w:val="none" w:sz="0" w:space="0" w:color="auto"/>
        <w:right w:val="none" w:sz="0" w:space="0" w:color="auto"/>
      </w:divBdr>
    </w:div>
    <w:div w:id="21134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Federalism%20assignment\Yemen%20Expenditure%20as%20of%20July%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Federalism%20assignment\Yemen%20Expenditure%20as%20of%20July%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Federalism%20assignment\Yemen%20Expenditu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Federalism%20assignment\Yemen%20Revenues%20(2007-2012).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Federalism%20assignment\Yemen%20Revenues%20(2007-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Federalism%20assignment\Governorates%20Revenues%20and%20Expenditures%202007%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baseline="0">
                <a:latin typeface="+mj-lt"/>
              </a:rPr>
              <a:t>Avergae Public Spending </a:t>
            </a:r>
            <a:r>
              <a:rPr lang="en-US" sz="1200" b="1" i="0" baseline="0">
                <a:latin typeface="+mj-lt"/>
              </a:rPr>
              <a:t>(2007-2012)</a:t>
            </a:r>
            <a:endParaRPr lang="en-US" sz="1200">
              <a:latin typeface="+mj-lt"/>
            </a:endParaRPr>
          </a:p>
        </c:rich>
      </c:tx>
      <c:layout>
        <c:manualLayout>
          <c:xMode val="edge"/>
          <c:yMode val="edge"/>
          <c:x val="0.23645837539538334"/>
          <c:y val="2.6857654431512987E-2"/>
        </c:manualLayout>
      </c:layout>
    </c:title>
    <c:plotArea>
      <c:layout>
        <c:manualLayout>
          <c:layoutTarget val="inner"/>
          <c:xMode val="edge"/>
          <c:yMode val="edge"/>
          <c:x val="0.12885574399353922"/>
          <c:y val="0.19742631768164171"/>
          <c:w val="0.85191348677569145"/>
          <c:h val="0.3781617662608649"/>
        </c:manualLayout>
      </c:layout>
      <c:barChart>
        <c:barDir val="col"/>
        <c:grouping val="clustered"/>
        <c:ser>
          <c:idx val="0"/>
          <c:order val="0"/>
          <c:dLbls>
            <c:showVal val="1"/>
          </c:dLbls>
          <c:cat>
            <c:strRef>
              <c:f>'Fuctional  expenditure'!$AN$81:$AN$91</c:f>
              <c:strCache>
                <c:ptCount val="11"/>
                <c:pt idx="0">
                  <c:v>General Public Services </c:v>
                </c:pt>
                <c:pt idx="1">
                  <c:v>Defence</c:v>
                </c:pt>
                <c:pt idx="2">
                  <c:v>Regulation and Public Security</c:v>
                </c:pt>
                <c:pt idx="3">
                  <c:v>Economic Affairs </c:v>
                </c:pt>
                <c:pt idx="4">
                  <c:v>Environment Protection</c:v>
                </c:pt>
                <c:pt idx="5">
                  <c:v>Housing Affairs and Public Facilities</c:v>
                </c:pt>
                <c:pt idx="6">
                  <c:v>Health</c:v>
                </c:pt>
                <c:pt idx="7">
                  <c:v>Entertainment</c:v>
                </c:pt>
                <c:pt idx="8">
                  <c:v>Education</c:v>
                </c:pt>
                <c:pt idx="9">
                  <c:v>Social  Protection</c:v>
                </c:pt>
                <c:pt idx="10">
                  <c:v>Debt Repayment</c:v>
                </c:pt>
              </c:strCache>
            </c:strRef>
          </c:cat>
          <c:val>
            <c:numRef>
              <c:f>'Fuctional  expenditure'!$AO$81:$AO$91</c:f>
              <c:numCache>
                <c:formatCode>0%</c:formatCode>
                <c:ptCount val="11"/>
                <c:pt idx="0">
                  <c:v>0.20406705574838788</c:v>
                </c:pt>
                <c:pt idx="1">
                  <c:v>0.14560099812977256</c:v>
                </c:pt>
                <c:pt idx="2">
                  <c:v>6.6632945184963654E-2</c:v>
                </c:pt>
                <c:pt idx="3">
                  <c:v>0.27468139386359181</c:v>
                </c:pt>
                <c:pt idx="4">
                  <c:v>1.0798550624127599E-2</c:v>
                </c:pt>
                <c:pt idx="5">
                  <c:v>4.1132753198119792E-2</c:v>
                </c:pt>
                <c:pt idx="6">
                  <c:v>3.7378090287396762E-2</c:v>
                </c:pt>
                <c:pt idx="7">
                  <c:v>1.1354875297293988E-2</c:v>
                </c:pt>
                <c:pt idx="8">
                  <c:v>0.14859518723417303</c:v>
                </c:pt>
                <c:pt idx="9">
                  <c:v>4.6636650397102124E-2</c:v>
                </c:pt>
                <c:pt idx="10">
                  <c:v>1.3121500035070925E-2</c:v>
                </c:pt>
              </c:numCache>
            </c:numRef>
          </c:val>
        </c:ser>
        <c:dLbls>
          <c:showVal val="1"/>
        </c:dLbls>
        <c:overlap val="-25"/>
        <c:axId val="86996096"/>
        <c:axId val="87003904"/>
      </c:barChart>
      <c:catAx>
        <c:axId val="86996096"/>
        <c:scaling>
          <c:orientation val="minMax"/>
        </c:scaling>
        <c:axPos val="b"/>
        <c:majorTickMark val="none"/>
        <c:tickLblPos val="nextTo"/>
        <c:txPr>
          <a:bodyPr/>
          <a:lstStyle/>
          <a:p>
            <a:pPr>
              <a:defRPr>
                <a:latin typeface="+mj-lt"/>
              </a:defRPr>
            </a:pPr>
            <a:endParaRPr lang="en-US"/>
          </a:p>
        </c:txPr>
        <c:crossAx val="87003904"/>
        <c:crosses val="autoZero"/>
        <c:auto val="1"/>
        <c:lblAlgn val="ctr"/>
        <c:lblOffset val="100"/>
      </c:catAx>
      <c:valAx>
        <c:axId val="87003904"/>
        <c:scaling>
          <c:orientation val="minMax"/>
        </c:scaling>
        <c:delete val="1"/>
        <c:axPos val="l"/>
        <c:numFmt formatCode="0%" sourceLinked="1"/>
        <c:tickLblPos val="nextTo"/>
        <c:crossAx val="869960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'Fuctional  expenditure'!$S$103</c:f>
              <c:strCache>
                <c:ptCount val="1"/>
                <c:pt idx="0">
                  <c:v>Central</c:v>
                </c:pt>
              </c:strCache>
            </c:strRef>
          </c:tx>
          <c:cat>
            <c:strRef>
              <c:f>'Fuctional  expenditure'!$R$104:$R$116</c:f>
              <c:strCache>
                <c:ptCount val="13"/>
                <c:pt idx="0">
                  <c:v>General Public Services of which:</c:v>
                </c:pt>
                <c:pt idx="1">
                  <c:v>Central Subsidies ***</c:v>
                </c:pt>
                <c:pt idx="2">
                  <c:v>Defence</c:v>
                </c:pt>
                <c:pt idx="3">
                  <c:v>Regulation and Public Security</c:v>
                </c:pt>
                <c:pt idx="4">
                  <c:v>Economic Affairs </c:v>
                </c:pt>
                <c:pt idx="5">
                  <c:v>Environment Protection</c:v>
                </c:pt>
                <c:pt idx="6">
                  <c:v>Housing Affairs and Public Facilities</c:v>
                </c:pt>
                <c:pt idx="7">
                  <c:v>Health</c:v>
                </c:pt>
                <c:pt idx="8">
                  <c:v>Entertainment ,Cultural &amp; Religious </c:v>
                </c:pt>
                <c:pt idx="9">
                  <c:v>Education</c:v>
                </c:pt>
                <c:pt idx="10">
                  <c:v>Social  Protection</c:v>
                </c:pt>
                <c:pt idx="11">
                  <c:v>Total Expenditures (according to functional classification)</c:v>
                </c:pt>
                <c:pt idx="12">
                  <c:v>Debt Repayment</c:v>
                </c:pt>
              </c:strCache>
            </c:strRef>
          </c:cat>
          <c:val>
            <c:numRef>
              <c:f>'Fuctional  expenditure'!$S$104:$S$116</c:f>
              <c:numCache>
                <c:formatCode>0%</c:formatCode>
                <c:ptCount val="13"/>
                <c:pt idx="0">
                  <c:v>0.34244365593453691</c:v>
                </c:pt>
                <c:pt idx="1">
                  <c:v>0.14850616622134169</c:v>
                </c:pt>
                <c:pt idx="2">
                  <c:v>0.14772639888773376</c:v>
                </c:pt>
                <c:pt idx="3">
                  <c:v>6.7586731544080833E-2</c:v>
                </c:pt>
                <c:pt idx="4">
                  <c:v>0.27260226338977261</c:v>
                </c:pt>
                <c:pt idx="5">
                  <c:v>1.0806884258378282E-2</c:v>
                </c:pt>
                <c:pt idx="6">
                  <c:v>3.1171327228754191E-2</c:v>
                </c:pt>
                <c:pt idx="7">
                  <c:v>1.7915678039545725E-2</c:v>
                </c:pt>
                <c:pt idx="8">
                  <c:v>9.5667042619210375E-3</c:v>
                </c:pt>
                <c:pt idx="9">
                  <c:v>4.0787063534013408E-2</c:v>
                </c:pt>
                <c:pt idx="10">
                  <c:v>4.6539064635479147E-2</c:v>
                </c:pt>
                <c:pt idx="11">
                  <c:v>0.98714577171421558</c:v>
                </c:pt>
                <c:pt idx="12">
                  <c:v>1.2854228285784483E-2</c:v>
                </c:pt>
              </c:numCache>
            </c:numRef>
          </c:val>
        </c:ser>
        <c:ser>
          <c:idx val="1"/>
          <c:order val="1"/>
          <c:tx>
            <c:strRef>
              <c:f>'Fuctional  expenditure'!$T$103</c:f>
              <c:strCache>
                <c:ptCount val="1"/>
                <c:pt idx="0">
                  <c:v>Local</c:v>
                </c:pt>
              </c:strCache>
            </c:strRef>
          </c:tx>
          <c:cat>
            <c:strRef>
              <c:f>'Fuctional  expenditure'!$R$104:$R$116</c:f>
              <c:strCache>
                <c:ptCount val="13"/>
                <c:pt idx="0">
                  <c:v>General Public Services of which:</c:v>
                </c:pt>
                <c:pt idx="1">
                  <c:v>Central Subsidies ***</c:v>
                </c:pt>
                <c:pt idx="2">
                  <c:v>Defence</c:v>
                </c:pt>
                <c:pt idx="3">
                  <c:v>Regulation and Public Security</c:v>
                </c:pt>
                <c:pt idx="4">
                  <c:v>Economic Affairs </c:v>
                </c:pt>
                <c:pt idx="5">
                  <c:v>Environment Protection</c:v>
                </c:pt>
                <c:pt idx="6">
                  <c:v>Housing Affairs and Public Facilities</c:v>
                </c:pt>
                <c:pt idx="7">
                  <c:v>Health</c:v>
                </c:pt>
                <c:pt idx="8">
                  <c:v>Entertainment ,Cultural &amp; Religious </c:v>
                </c:pt>
                <c:pt idx="9">
                  <c:v>Education</c:v>
                </c:pt>
                <c:pt idx="10">
                  <c:v>Social  Protection</c:v>
                </c:pt>
                <c:pt idx="11">
                  <c:v>Total Expenditures (according to functional classification)</c:v>
                </c:pt>
                <c:pt idx="12">
                  <c:v>Debt Repayment</c:v>
                </c:pt>
              </c:strCache>
            </c:strRef>
          </c:cat>
          <c:val>
            <c:numRef>
              <c:f>'Fuctional  expenditure'!$T$104:$T$116</c:f>
              <c:numCache>
                <c:formatCode>General</c:formatCode>
                <c:ptCount val="13"/>
                <c:pt idx="0" formatCode="0%">
                  <c:v>8.0194245080859691E-2</c:v>
                </c:pt>
                <c:pt idx="2" formatCode="0%">
                  <c:v>0</c:v>
                </c:pt>
                <c:pt idx="3" formatCode="0%">
                  <c:v>1.0562162388023672E-4</c:v>
                </c:pt>
                <c:pt idx="4" formatCode="0%">
                  <c:v>3.7114009255682125E-2</c:v>
                </c:pt>
                <c:pt idx="5" formatCode="0%">
                  <c:v>9.325792784385732E-4</c:v>
                </c:pt>
                <c:pt idx="6" formatCode="0%">
                  <c:v>6.4703609570527676E-2</c:v>
                </c:pt>
                <c:pt idx="7" formatCode="0%">
                  <c:v>0.12285105335441537</c:v>
                </c:pt>
                <c:pt idx="8" formatCode="0%">
                  <c:v>1.1982143603935305E-2</c:v>
                </c:pt>
                <c:pt idx="9" formatCode="0%">
                  <c:v>0.67427436334288493</c:v>
                </c:pt>
                <c:pt idx="10" formatCode="0%">
                  <c:v>4.7570608285475106E-3</c:v>
                </c:pt>
                <c:pt idx="11" formatCode="0%">
                  <c:v>0.99691468593917121</c:v>
                </c:pt>
                <c:pt idx="12" formatCode="0%">
                  <c:v>3.0853140608288442E-3</c:v>
                </c:pt>
              </c:numCache>
            </c:numRef>
          </c:val>
        </c:ser>
        <c:axId val="87092608"/>
        <c:axId val="106967424"/>
      </c:barChart>
      <c:catAx>
        <c:axId val="87092608"/>
        <c:scaling>
          <c:orientation val="minMax"/>
        </c:scaling>
        <c:axPos val="b"/>
        <c:tickLblPos val="nextTo"/>
        <c:crossAx val="106967424"/>
        <c:crosses val="autoZero"/>
        <c:auto val="1"/>
        <c:lblAlgn val="ctr"/>
        <c:lblOffset val="100"/>
      </c:catAx>
      <c:valAx>
        <c:axId val="106967424"/>
        <c:scaling>
          <c:orientation val="minMax"/>
        </c:scaling>
        <c:axPos val="l"/>
        <c:majorGridlines/>
        <c:numFmt formatCode="0%" sourceLinked="1"/>
        <c:tickLblPos val="nextTo"/>
        <c:crossAx val="870926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latin typeface="Times New Roman" pitchFamily="18" charset="0"/>
                <a:cs typeface="Times New Roman" pitchFamily="18" charset="0"/>
              </a:rPr>
              <a:t>Use of Goods</a:t>
            </a:r>
            <a:r>
              <a:rPr lang="en-US" sz="1400" baseline="0">
                <a:latin typeface="Times New Roman" pitchFamily="18" charset="0"/>
                <a:cs typeface="Times New Roman" pitchFamily="18" charset="0"/>
              </a:rPr>
              <a:t> and Services</a:t>
            </a:r>
          </a:p>
        </c:rich>
      </c:tx>
      <c:layout>
        <c:manualLayout>
          <c:xMode val="edge"/>
          <c:yMode val="edge"/>
          <c:x val="0.22388471177944888"/>
          <c:y val="0.90358126721762666"/>
        </c:manualLayout>
      </c:layout>
    </c:title>
    <c:plotArea>
      <c:layout>
        <c:manualLayout>
          <c:layoutTarget val="inner"/>
          <c:xMode val="edge"/>
          <c:yMode val="edge"/>
          <c:x val="0.22323696404741242"/>
          <c:y val="0.19207624491597405"/>
          <c:w val="0.51099929581973003"/>
          <c:h val="0.66107416327137181"/>
        </c:manualLayout>
      </c:layout>
      <c:pieChart>
        <c:varyColors val="1"/>
        <c:ser>
          <c:idx val="0"/>
          <c:order val="0"/>
          <c:dLbls>
            <c:dLbl>
              <c:idx val="1"/>
              <c:layout>
                <c:manualLayout>
                  <c:x val="2.3460212338048597E-2"/>
                  <c:y val="-0.16448550899358563"/>
                </c:manualLayout>
              </c:layout>
              <c:showCatName val="1"/>
              <c:showPercent val="1"/>
            </c:dLbl>
            <c:dLbl>
              <c:idx val="3"/>
              <c:layout>
                <c:manualLayout>
                  <c:x val="-0.1112709222791812"/>
                  <c:y val="2.297326326395481E-2"/>
                </c:manualLayout>
              </c:layout>
              <c:showCatName val="1"/>
              <c:showPercent val="1"/>
            </c:dLbl>
            <c:dLbl>
              <c:idx val="4"/>
              <c:layout>
                <c:manualLayout>
                  <c:x val="0.15319343984755748"/>
                  <c:y val="2.8381388469424641E-3"/>
                </c:manualLayout>
              </c:layout>
              <c:showCatName val="1"/>
              <c:showPercent val="1"/>
            </c:dLbl>
            <c:txPr>
              <a:bodyPr/>
              <a:lstStyle/>
              <a:p>
                <a:pPr>
                  <a:defRPr sz="800"/>
                </a:pPr>
                <a:endParaRPr lang="en-US"/>
              </a:p>
            </c:txPr>
            <c:showCatName val="1"/>
            <c:showPercent val="1"/>
          </c:dLbls>
          <c:cat>
            <c:strRef>
              <c:f>'Use of goods and services'!$B$22:$B$26</c:f>
              <c:strCache>
                <c:ptCount val="5"/>
                <c:pt idx="0">
                  <c:v>Goods And Services</c:v>
                </c:pt>
                <c:pt idx="1">
                  <c:v>Maintenance</c:v>
                </c:pt>
                <c:pt idx="2">
                  <c:v>Interest Payments</c:v>
                </c:pt>
                <c:pt idx="3">
                  <c:v>Consumption Of Fixed Capital</c:v>
                </c:pt>
                <c:pt idx="4">
                  <c:v>Property Expense Other Than Interest</c:v>
                </c:pt>
              </c:strCache>
            </c:strRef>
          </c:cat>
          <c:val>
            <c:numRef>
              <c:f>'Use of goods and services'!$I$22:$I$26</c:f>
              <c:numCache>
                <c:formatCode>0%</c:formatCode>
                <c:ptCount val="5"/>
                <c:pt idx="0">
                  <c:v>0.47728799967901597</c:v>
                </c:pt>
                <c:pt idx="1">
                  <c:v>7.6167943244419334E-2</c:v>
                </c:pt>
                <c:pt idx="2">
                  <c:v>0.44625590786568631</c:v>
                </c:pt>
                <c:pt idx="3">
                  <c:v>0</c:v>
                </c:pt>
                <c:pt idx="4">
                  <c:v>2.8814921088146032E-4</c:v>
                </c:pt>
              </c:numCache>
            </c:numRef>
          </c:val>
        </c:ser>
        <c:dLbls>
          <c:showCatName val="1"/>
          <c:showPercent val="1"/>
        </c:dLbls>
        <c:firstSliceAng val="0"/>
      </c:pieChart>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Oil Exports and Internatioanl Oil Prices</a:t>
            </a:r>
          </a:p>
        </c:rich>
      </c:tx>
    </c:title>
    <c:plotArea>
      <c:layout/>
      <c:lineChart>
        <c:grouping val="standard"/>
        <c:ser>
          <c:idx val="0"/>
          <c:order val="0"/>
          <c:tx>
            <c:strRef>
              <c:f>'Oil Revenues'!$H$107</c:f>
              <c:strCache>
                <c:ptCount val="1"/>
                <c:pt idx="0">
                  <c:v>Crude Oil Prices</c:v>
                </c:pt>
              </c:strCache>
            </c:strRef>
          </c:tx>
          <c:marker>
            <c:symbol val="none"/>
          </c:marker>
          <c:cat>
            <c:numRef>
              <c:f>'Oil Revenues'!$G$108:$G$112</c:f>
              <c:numCache>
                <c:formatCode>General</c:formatCode>
                <c:ptCount val="5"/>
                <c:pt idx="0">
                  <c:v>2008</c:v>
                </c:pt>
                <c:pt idx="1">
                  <c:v>2009</c:v>
                </c:pt>
                <c:pt idx="2">
                  <c:v>2010</c:v>
                </c:pt>
                <c:pt idx="3">
                  <c:v>2011</c:v>
                </c:pt>
                <c:pt idx="4">
                  <c:v>2012</c:v>
                </c:pt>
              </c:numCache>
            </c:numRef>
          </c:cat>
          <c:val>
            <c:numRef>
              <c:f>'Oil Revenues'!$H$108:$H$112</c:f>
              <c:numCache>
                <c:formatCode>0%</c:formatCode>
                <c:ptCount val="5"/>
                <c:pt idx="0">
                  <c:v>0.32723922457738286</c:v>
                </c:pt>
                <c:pt idx="1">
                  <c:v>-0.36022652755142132</c:v>
                </c:pt>
                <c:pt idx="2">
                  <c:v>0.26444308538454114</c:v>
                </c:pt>
                <c:pt idx="3">
                  <c:v>0.31170168395387887</c:v>
                </c:pt>
                <c:pt idx="4">
                  <c:v>-3.504766290335249E-2</c:v>
                </c:pt>
              </c:numCache>
            </c:numRef>
          </c:val>
        </c:ser>
        <c:ser>
          <c:idx val="1"/>
          <c:order val="1"/>
          <c:tx>
            <c:strRef>
              <c:f>'Oil Revenues'!$I$107</c:f>
              <c:strCache>
                <c:ptCount val="1"/>
                <c:pt idx="0">
                  <c:v>Yemen's Exported Crude Oil</c:v>
                </c:pt>
              </c:strCache>
            </c:strRef>
          </c:tx>
          <c:marker>
            <c:symbol val="none"/>
          </c:marker>
          <c:cat>
            <c:numRef>
              <c:f>'Oil Revenues'!$G$108:$G$112</c:f>
              <c:numCache>
                <c:formatCode>General</c:formatCode>
                <c:ptCount val="5"/>
                <c:pt idx="0">
                  <c:v>2008</c:v>
                </c:pt>
                <c:pt idx="1">
                  <c:v>2009</c:v>
                </c:pt>
                <c:pt idx="2">
                  <c:v>2010</c:v>
                </c:pt>
                <c:pt idx="3">
                  <c:v>2011</c:v>
                </c:pt>
                <c:pt idx="4">
                  <c:v>2012</c:v>
                </c:pt>
              </c:numCache>
            </c:numRef>
          </c:cat>
          <c:val>
            <c:numRef>
              <c:f>'Oil Revenues'!$I$108:$I$112</c:f>
              <c:numCache>
                <c:formatCode>0%</c:formatCode>
                <c:ptCount val="5"/>
                <c:pt idx="0">
                  <c:v>0.72244828302309683</c:v>
                </c:pt>
                <c:pt idx="1">
                  <c:v>-0.5835294033383831</c:v>
                </c:pt>
                <c:pt idx="2">
                  <c:v>0.57164886695215023</c:v>
                </c:pt>
                <c:pt idx="3">
                  <c:v>0.3282152757513862</c:v>
                </c:pt>
                <c:pt idx="4">
                  <c:v>4.9472254756709924E-2</c:v>
                </c:pt>
              </c:numCache>
            </c:numRef>
          </c:val>
        </c:ser>
        <c:marker val="1"/>
        <c:axId val="109845120"/>
        <c:axId val="109882368"/>
      </c:lineChart>
      <c:catAx>
        <c:axId val="109845120"/>
        <c:scaling>
          <c:orientation val="minMax"/>
        </c:scaling>
        <c:axPos val="b"/>
        <c:numFmt formatCode="General" sourceLinked="1"/>
        <c:majorTickMark val="none"/>
        <c:tickLblPos val="nextTo"/>
        <c:crossAx val="109882368"/>
        <c:crosses val="autoZero"/>
        <c:auto val="1"/>
        <c:lblAlgn val="ctr"/>
        <c:lblOffset val="100"/>
      </c:catAx>
      <c:valAx>
        <c:axId val="109882368"/>
        <c:scaling>
          <c:orientation val="minMax"/>
        </c:scaling>
        <c:axPos val="l"/>
        <c:majorGridlines/>
        <c:numFmt formatCode="0%" sourceLinked="1"/>
        <c:majorTickMark val="none"/>
        <c:tickLblPos val="nextTo"/>
        <c:spPr>
          <a:ln w="9525">
            <a:noFill/>
          </a:ln>
        </c:spPr>
        <c:crossAx val="109845120"/>
        <c:crosses val="autoZero"/>
        <c:crossBetween val="between"/>
      </c:valAx>
    </c:plotArea>
    <c:legend>
      <c:legendPos val="b"/>
    </c:legend>
    <c:plotVisOnly val="1"/>
  </c:chart>
  <c:spPr>
    <a:ln>
      <a:noFill/>
    </a:ln>
  </c:spPr>
  <c:txPr>
    <a:bodyPr/>
    <a:lstStyle/>
    <a:p>
      <a:pPr>
        <a:defRPr>
          <a:latin typeface="+mj-lt"/>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Cost of Fuel Subsidies</a:t>
            </a:r>
          </a:p>
        </c:rich>
      </c:tx>
      <c:layout>
        <c:manualLayout>
          <c:xMode val="edge"/>
          <c:yMode val="edge"/>
          <c:x val="0.3191495053502939"/>
          <c:y val="1.9851855670250862E-3"/>
        </c:manualLayout>
      </c:layout>
    </c:title>
    <c:plotArea>
      <c:layout>
        <c:manualLayout>
          <c:layoutTarget val="inner"/>
          <c:xMode val="edge"/>
          <c:yMode val="edge"/>
          <c:x val="0.17674895497397924"/>
          <c:y val="0.11969287421162035"/>
          <c:w val="0.57935848643919996"/>
          <c:h val="0.71604512977544499"/>
        </c:manualLayout>
      </c:layout>
      <c:areaChart>
        <c:grouping val="stacked"/>
        <c:ser>
          <c:idx val="0"/>
          <c:order val="0"/>
          <c:tx>
            <c:strRef>
              <c:f>summary!$A$99</c:f>
              <c:strCache>
                <c:ptCount val="1"/>
                <c:pt idx="0">
                  <c:v>  LPG</c:v>
                </c:pt>
              </c:strCache>
            </c:strRef>
          </c:tx>
          <c:cat>
            <c:strRef>
              <c:f>summary!$B$4:$J$4</c:f>
              <c:strCache>
                <c:ptCount val="9"/>
                <c:pt idx="0">
                  <c:v>2005</c:v>
                </c:pt>
                <c:pt idx="1">
                  <c:v>2006</c:v>
                </c:pt>
                <c:pt idx="2">
                  <c:v>2007</c:v>
                </c:pt>
                <c:pt idx="3">
                  <c:v>2008</c:v>
                </c:pt>
                <c:pt idx="4">
                  <c:v>2009</c:v>
                </c:pt>
                <c:pt idx="5">
                  <c:v>2010</c:v>
                </c:pt>
                <c:pt idx="6">
                  <c:v>2011</c:v>
                </c:pt>
                <c:pt idx="7">
                  <c:v>2012</c:v>
                </c:pt>
                <c:pt idx="8">
                  <c:v>fcst 2013</c:v>
                </c:pt>
              </c:strCache>
            </c:strRef>
          </c:cat>
          <c:val>
            <c:numRef>
              <c:f>summary!$B$99:$J$99</c:f>
              <c:numCache>
                <c:formatCode>0</c:formatCode>
                <c:ptCount val="9"/>
                <c:pt idx="0">
                  <c:v>0</c:v>
                </c:pt>
                <c:pt idx="1">
                  <c:v>0</c:v>
                </c:pt>
                <c:pt idx="2">
                  <c:v>0</c:v>
                </c:pt>
                <c:pt idx="3">
                  <c:v>0</c:v>
                </c:pt>
                <c:pt idx="4">
                  <c:v>0</c:v>
                </c:pt>
                <c:pt idx="5">
                  <c:v>0</c:v>
                </c:pt>
                <c:pt idx="6">
                  <c:v>0</c:v>
                </c:pt>
                <c:pt idx="7">
                  <c:v>0</c:v>
                </c:pt>
                <c:pt idx="8">
                  <c:v>117.6</c:v>
                </c:pt>
              </c:numCache>
            </c:numRef>
          </c:val>
        </c:ser>
        <c:ser>
          <c:idx val="1"/>
          <c:order val="1"/>
          <c:tx>
            <c:strRef>
              <c:f>summary!$A$100</c:f>
              <c:strCache>
                <c:ptCount val="1"/>
                <c:pt idx="0">
                  <c:v>  Gasoline</c:v>
                </c:pt>
              </c:strCache>
            </c:strRef>
          </c:tx>
          <c:spPr>
            <a:solidFill>
              <a:schemeClr val="accent2">
                <a:lumMod val="40000"/>
                <a:lumOff val="60000"/>
              </a:schemeClr>
            </a:solidFill>
          </c:spPr>
          <c:dLbls>
            <c:spPr>
              <a:noFill/>
              <a:ln>
                <a:noFill/>
              </a:ln>
              <a:effectLst/>
            </c:spPr>
            <c:txPr>
              <a:bodyPr/>
              <a:lstStyle/>
              <a:p>
                <a:pPr>
                  <a:defRPr b="1"/>
                </a:pPr>
                <a:endParaRPr lang="en-US"/>
              </a:p>
            </c:txPr>
            <c:showSerName val="1"/>
            <c:extLst>
              <c:ext xmlns:c15="http://schemas.microsoft.com/office/drawing/2012/chart" uri="{CE6537A1-D6FC-4f65-9D91-7224C49458BB}">
                <c15:showLeaderLines val="0"/>
              </c:ext>
            </c:extLst>
          </c:dLbls>
          <c:cat>
            <c:strRef>
              <c:f>summary!$B$4:$J$4</c:f>
              <c:strCache>
                <c:ptCount val="9"/>
                <c:pt idx="0">
                  <c:v>2005</c:v>
                </c:pt>
                <c:pt idx="1">
                  <c:v>2006</c:v>
                </c:pt>
                <c:pt idx="2">
                  <c:v>2007</c:v>
                </c:pt>
                <c:pt idx="3">
                  <c:v>2008</c:v>
                </c:pt>
                <c:pt idx="4">
                  <c:v>2009</c:v>
                </c:pt>
                <c:pt idx="5">
                  <c:v>2010</c:v>
                </c:pt>
                <c:pt idx="6">
                  <c:v>2011</c:v>
                </c:pt>
                <c:pt idx="7">
                  <c:v>2012</c:v>
                </c:pt>
                <c:pt idx="8">
                  <c:v>fcst 2013</c:v>
                </c:pt>
              </c:strCache>
            </c:strRef>
          </c:cat>
          <c:val>
            <c:numRef>
              <c:f>summary!$B$100:$J$100</c:f>
              <c:numCache>
                <c:formatCode>0</c:formatCode>
                <c:ptCount val="9"/>
                <c:pt idx="0">
                  <c:v>297.2093023255814</c:v>
                </c:pt>
                <c:pt idx="1">
                  <c:v>315.13023255813829</c:v>
                </c:pt>
                <c:pt idx="2">
                  <c:v>438.25581395348826</c:v>
                </c:pt>
                <c:pt idx="3">
                  <c:v>642.34883720930304</c:v>
                </c:pt>
                <c:pt idx="4">
                  <c:v>378.52093023255821</c:v>
                </c:pt>
                <c:pt idx="5">
                  <c:v>639.24186046511625</c:v>
                </c:pt>
                <c:pt idx="6">
                  <c:v>538.06976744186045</c:v>
                </c:pt>
                <c:pt idx="7">
                  <c:v>542.30967441860469</c:v>
                </c:pt>
                <c:pt idx="8">
                  <c:v>91.318171428571148</c:v>
                </c:pt>
              </c:numCache>
            </c:numRef>
          </c:val>
        </c:ser>
        <c:ser>
          <c:idx val="2"/>
          <c:order val="2"/>
          <c:tx>
            <c:strRef>
              <c:f>summary!$A$101</c:f>
              <c:strCache>
                <c:ptCount val="1"/>
                <c:pt idx="0">
                  <c:v>  kerosene</c:v>
                </c:pt>
              </c:strCache>
            </c:strRef>
          </c:tx>
          <c:cat>
            <c:strRef>
              <c:f>summary!$B$4:$J$4</c:f>
              <c:strCache>
                <c:ptCount val="9"/>
                <c:pt idx="0">
                  <c:v>2005</c:v>
                </c:pt>
                <c:pt idx="1">
                  <c:v>2006</c:v>
                </c:pt>
                <c:pt idx="2">
                  <c:v>2007</c:v>
                </c:pt>
                <c:pt idx="3">
                  <c:v>2008</c:v>
                </c:pt>
                <c:pt idx="4">
                  <c:v>2009</c:v>
                </c:pt>
                <c:pt idx="5">
                  <c:v>2010</c:v>
                </c:pt>
                <c:pt idx="6">
                  <c:v>2011</c:v>
                </c:pt>
                <c:pt idx="7">
                  <c:v>2012</c:v>
                </c:pt>
                <c:pt idx="8">
                  <c:v>fcst 2013</c:v>
                </c:pt>
              </c:strCache>
            </c:strRef>
          </c:cat>
          <c:val>
            <c:numRef>
              <c:f>summary!$B$101:$J$101</c:f>
              <c:numCache>
                <c:formatCode>0</c:formatCode>
                <c:ptCount val="9"/>
                <c:pt idx="0">
                  <c:v>34.65116279069742</c:v>
                </c:pt>
                <c:pt idx="1">
                  <c:v>37.139534883720962</c:v>
                </c:pt>
                <c:pt idx="2">
                  <c:v>46.804651162790272</c:v>
                </c:pt>
                <c:pt idx="3">
                  <c:v>78.074418604650958</c:v>
                </c:pt>
                <c:pt idx="4">
                  <c:v>36.213953488372098</c:v>
                </c:pt>
                <c:pt idx="5">
                  <c:v>49.781395348837393</c:v>
                </c:pt>
                <c:pt idx="6">
                  <c:v>84.702325581395527</c:v>
                </c:pt>
                <c:pt idx="7">
                  <c:v>73.249302325580928</c:v>
                </c:pt>
                <c:pt idx="8">
                  <c:v>30.055714285714174</c:v>
                </c:pt>
              </c:numCache>
            </c:numRef>
          </c:val>
        </c:ser>
        <c:ser>
          <c:idx val="3"/>
          <c:order val="3"/>
          <c:tx>
            <c:strRef>
              <c:f>summary!$A$102</c:f>
              <c:strCache>
                <c:ptCount val="1"/>
                <c:pt idx="0">
                  <c:v>  Diesel</c:v>
                </c:pt>
              </c:strCache>
            </c:strRef>
          </c:tx>
          <c:spPr>
            <a:solidFill>
              <a:schemeClr val="accent4">
                <a:lumMod val="40000"/>
                <a:lumOff val="60000"/>
              </a:schemeClr>
            </a:solidFill>
          </c:spPr>
          <c:dLbls>
            <c:spPr>
              <a:noFill/>
              <a:ln>
                <a:noFill/>
              </a:ln>
              <a:effectLst/>
            </c:spPr>
            <c:txPr>
              <a:bodyPr/>
              <a:lstStyle/>
              <a:p>
                <a:pPr>
                  <a:defRPr b="1"/>
                </a:pPr>
                <a:endParaRPr lang="en-US"/>
              </a:p>
            </c:txPr>
            <c:showSerName val="1"/>
            <c:extLst>
              <c:ext xmlns:c15="http://schemas.microsoft.com/office/drawing/2012/chart" uri="{CE6537A1-D6FC-4f65-9D91-7224C49458BB}">
                <c15:showLeaderLines val="0"/>
              </c:ext>
            </c:extLst>
          </c:dLbls>
          <c:cat>
            <c:strRef>
              <c:f>summary!$B$4:$J$4</c:f>
              <c:strCache>
                <c:ptCount val="9"/>
                <c:pt idx="0">
                  <c:v>2005</c:v>
                </c:pt>
                <c:pt idx="1">
                  <c:v>2006</c:v>
                </c:pt>
                <c:pt idx="2">
                  <c:v>2007</c:v>
                </c:pt>
                <c:pt idx="3">
                  <c:v>2008</c:v>
                </c:pt>
                <c:pt idx="4">
                  <c:v>2009</c:v>
                </c:pt>
                <c:pt idx="5">
                  <c:v>2010</c:v>
                </c:pt>
                <c:pt idx="6">
                  <c:v>2011</c:v>
                </c:pt>
                <c:pt idx="7">
                  <c:v>2012</c:v>
                </c:pt>
                <c:pt idx="8">
                  <c:v>fcst 2013</c:v>
                </c:pt>
              </c:strCache>
            </c:strRef>
          </c:cat>
          <c:val>
            <c:numRef>
              <c:f>summary!$B$102:$J$102</c:f>
              <c:numCache>
                <c:formatCode>0</c:formatCode>
                <c:ptCount val="9"/>
                <c:pt idx="0">
                  <c:v>883.12558139534838</c:v>
                </c:pt>
                <c:pt idx="1">
                  <c:v>1018.7767441860485</c:v>
                </c:pt>
                <c:pt idx="2">
                  <c:v>1293.4651162790699</c:v>
                </c:pt>
                <c:pt idx="3">
                  <c:v>2179.8744186046511</c:v>
                </c:pt>
                <c:pt idx="4">
                  <c:v>1156.7674418604649</c:v>
                </c:pt>
                <c:pt idx="5">
                  <c:v>1485.3581395348754</c:v>
                </c:pt>
                <c:pt idx="6">
                  <c:v>1488.0883720930228</c:v>
                </c:pt>
                <c:pt idx="7">
                  <c:v>1391.4286511628047</c:v>
                </c:pt>
                <c:pt idx="8">
                  <c:v>498.48412698412665</c:v>
                </c:pt>
              </c:numCache>
            </c:numRef>
          </c:val>
        </c:ser>
        <c:ser>
          <c:idx val="4"/>
          <c:order val="4"/>
          <c:tx>
            <c:strRef>
              <c:f>summary!$A$103</c:f>
              <c:strCache>
                <c:ptCount val="1"/>
                <c:pt idx="0">
                  <c:v>  Diesel for elec</c:v>
                </c:pt>
              </c:strCache>
            </c:strRef>
          </c:tx>
          <c:dLbls>
            <c:dLbl>
              <c:idx val="0"/>
              <c:layout>
                <c:manualLayout>
                  <c:x val="0.18611111111111242"/>
                  <c:y val="2.7777777777778043E-2"/>
                </c:manualLayout>
              </c:layout>
              <c:showSerName val="1"/>
              <c:extLst>
                <c:ext xmlns:c15="http://schemas.microsoft.com/office/drawing/2012/chart" uri="{CE6537A1-D6FC-4f65-9D91-7224C49458BB}"/>
              </c:extLst>
            </c:dLbl>
            <c:spPr>
              <a:noFill/>
              <a:ln>
                <a:noFill/>
              </a:ln>
              <a:effectLst/>
            </c:spPr>
            <c:txPr>
              <a:bodyPr/>
              <a:lstStyle/>
              <a:p>
                <a:pPr>
                  <a:defRPr b="1"/>
                </a:pPr>
                <a:endParaRPr lang="en-US"/>
              </a:p>
            </c:txPr>
            <c:showSerName val="1"/>
            <c:extLst>
              <c:ext xmlns:c15="http://schemas.microsoft.com/office/drawing/2012/chart" uri="{CE6537A1-D6FC-4f65-9D91-7224C49458BB}">
                <c15:showLeaderLines val="0"/>
              </c:ext>
            </c:extLst>
          </c:dLbls>
          <c:cat>
            <c:strRef>
              <c:f>summary!$B$4:$J$4</c:f>
              <c:strCache>
                <c:ptCount val="9"/>
                <c:pt idx="0">
                  <c:v>2005</c:v>
                </c:pt>
                <c:pt idx="1">
                  <c:v>2006</c:v>
                </c:pt>
                <c:pt idx="2">
                  <c:v>2007</c:v>
                </c:pt>
                <c:pt idx="3">
                  <c:v>2008</c:v>
                </c:pt>
                <c:pt idx="4">
                  <c:v>2009</c:v>
                </c:pt>
                <c:pt idx="5">
                  <c:v>2010</c:v>
                </c:pt>
                <c:pt idx="6">
                  <c:v>2011</c:v>
                </c:pt>
                <c:pt idx="7">
                  <c:v>2012</c:v>
                </c:pt>
                <c:pt idx="8">
                  <c:v>fcst 2013</c:v>
                </c:pt>
              </c:strCache>
            </c:strRef>
          </c:cat>
          <c:val>
            <c:numRef>
              <c:f>summary!$B$103:$J$103</c:f>
              <c:numCache>
                <c:formatCode>General</c:formatCode>
                <c:ptCount val="9"/>
                <c:pt idx="7" formatCode="0">
                  <c:v>381.31627906976752</c:v>
                </c:pt>
                <c:pt idx="8" formatCode="0">
                  <c:v>552.47587301587305</c:v>
                </c:pt>
              </c:numCache>
            </c:numRef>
          </c:val>
        </c:ser>
        <c:ser>
          <c:idx val="5"/>
          <c:order val="5"/>
          <c:tx>
            <c:strRef>
              <c:f>summary!$A$104</c:f>
              <c:strCache>
                <c:ptCount val="1"/>
                <c:pt idx="0">
                  <c:v>  Fuel Oil</c:v>
                </c:pt>
              </c:strCache>
            </c:strRef>
          </c:tx>
          <c:spPr>
            <a:solidFill>
              <a:schemeClr val="accent6">
                <a:lumMod val="60000"/>
                <a:lumOff val="40000"/>
              </a:schemeClr>
            </a:solidFill>
          </c:spPr>
          <c:dLbls>
            <c:dLbl>
              <c:idx val="0"/>
              <c:layout>
                <c:manualLayout>
                  <c:x val="6.3888888888888884E-2"/>
                  <c:y val="-0.11111111111111102"/>
                </c:manualLayout>
              </c:layout>
              <c:showSerName val="1"/>
              <c:extLst>
                <c:ext xmlns:c15="http://schemas.microsoft.com/office/drawing/2012/chart" uri="{CE6537A1-D6FC-4f65-9D91-7224C49458BB}"/>
              </c:extLst>
            </c:dLbl>
            <c:spPr>
              <a:noFill/>
              <a:ln>
                <a:noFill/>
              </a:ln>
              <a:effectLst/>
            </c:spPr>
            <c:txPr>
              <a:bodyPr/>
              <a:lstStyle/>
              <a:p>
                <a:pPr>
                  <a:defRPr b="1"/>
                </a:pPr>
                <a:endParaRPr lang="en-US"/>
              </a:p>
            </c:txPr>
            <c:showSerName val="1"/>
            <c:extLst>
              <c:ext xmlns:c15="http://schemas.microsoft.com/office/drawing/2012/chart" uri="{CE6537A1-D6FC-4f65-9D91-7224C49458BB}">
                <c15:showLeaderLines val="0"/>
              </c:ext>
            </c:extLst>
          </c:dLbls>
          <c:cat>
            <c:strRef>
              <c:f>summary!$B$4:$J$4</c:f>
              <c:strCache>
                <c:ptCount val="9"/>
                <c:pt idx="0">
                  <c:v>2005</c:v>
                </c:pt>
                <c:pt idx="1">
                  <c:v>2006</c:v>
                </c:pt>
                <c:pt idx="2">
                  <c:v>2007</c:v>
                </c:pt>
                <c:pt idx="3">
                  <c:v>2008</c:v>
                </c:pt>
                <c:pt idx="4">
                  <c:v>2009</c:v>
                </c:pt>
                <c:pt idx="5">
                  <c:v>2010</c:v>
                </c:pt>
                <c:pt idx="6">
                  <c:v>2011</c:v>
                </c:pt>
                <c:pt idx="7">
                  <c:v>2012</c:v>
                </c:pt>
                <c:pt idx="8">
                  <c:v>fcst 2013</c:v>
                </c:pt>
              </c:strCache>
            </c:strRef>
          </c:cat>
          <c:val>
            <c:numRef>
              <c:f>summary!$B$104:$J$104</c:f>
              <c:numCache>
                <c:formatCode>0</c:formatCode>
                <c:ptCount val="9"/>
                <c:pt idx="0">
                  <c:v>0</c:v>
                </c:pt>
                <c:pt idx="1">
                  <c:v>0</c:v>
                </c:pt>
                <c:pt idx="2">
                  <c:v>0</c:v>
                </c:pt>
                <c:pt idx="3">
                  <c:v>333.5441860465117</c:v>
                </c:pt>
                <c:pt idx="4">
                  <c:v>266.43720930232524</c:v>
                </c:pt>
                <c:pt idx="5">
                  <c:v>402.62325581395402</c:v>
                </c:pt>
                <c:pt idx="6">
                  <c:v>399.04651162790697</c:v>
                </c:pt>
                <c:pt idx="7">
                  <c:v>543.91186046511632</c:v>
                </c:pt>
                <c:pt idx="8">
                  <c:v>373.7730285714286</c:v>
                </c:pt>
              </c:numCache>
            </c:numRef>
          </c:val>
        </c:ser>
        <c:axId val="113206400"/>
        <c:axId val="113208320"/>
      </c:areaChart>
      <c:catAx>
        <c:axId val="113206400"/>
        <c:scaling>
          <c:orientation val="minMax"/>
        </c:scaling>
        <c:axPos val="b"/>
        <c:numFmt formatCode="General" sourceLinked="0"/>
        <c:tickLblPos val="nextTo"/>
        <c:crossAx val="113208320"/>
        <c:crosses val="autoZero"/>
        <c:auto val="1"/>
        <c:lblAlgn val="ctr"/>
        <c:lblOffset val="100"/>
      </c:catAx>
      <c:valAx>
        <c:axId val="113208320"/>
        <c:scaling>
          <c:orientation val="minMax"/>
        </c:scaling>
        <c:axPos val="l"/>
        <c:majorGridlines/>
        <c:title>
          <c:tx>
            <c:rich>
              <a:bodyPr rot="0" vert="horz"/>
              <a:lstStyle/>
              <a:p>
                <a:pPr>
                  <a:defRPr/>
                </a:pPr>
                <a:r>
                  <a:rPr lang="en-US" sz="1050" b="1"/>
                  <a:t>million $</a:t>
                </a:r>
              </a:p>
            </c:rich>
          </c:tx>
        </c:title>
        <c:numFmt formatCode="0" sourceLinked="1"/>
        <c:tickLblPos val="nextTo"/>
        <c:crossAx val="113206400"/>
        <c:crosses val="autoZero"/>
        <c:crossBetween val="midCat"/>
      </c:valAx>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Annual Revenues </a:t>
            </a:r>
            <a:r>
              <a:rPr lang="en-US" sz="1200"/>
              <a:t>(in</a:t>
            </a:r>
            <a:r>
              <a:rPr lang="en-US" sz="1200" baseline="0"/>
              <a:t> millions of YR)</a:t>
            </a:r>
            <a:endParaRPr lang="en-US" sz="1200"/>
          </a:p>
        </c:rich>
      </c:tx>
    </c:title>
    <c:plotArea>
      <c:layout/>
      <c:lineChart>
        <c:grouping val="standard"/>
        <c:ser>
          <c:idx val="0"/>
          <c:order val="0"/>
          <c:tx>
            <c:strRef>
              <c:f>'Oil Revenues'!$D$66</c:f>
              <c:strCache>
                <c:ptCount val="1"/>
                <c:pt idx="0">
                  <c:v>Exported Crude Oil</c:v>
                </c:pt>
              </c:strCache>
            </c:strRef>
          </c:tx>
          <c:cat>
            <c:numRef>
              <c:f>'Oil Revenues'!$E$65:$J$65</c:f>
              <c:numCache>
                <c:formatCode>General</c:formatCode>
                <c:ptCount val="6"/>
                <c:pt idx="0">
                  <c:v>2007</c:v>
                </c:pt>
                <c:pt idx="1">
                  <c:v>2008</c:v>
                </c:pt>
                <c:pt idx="2">
                  <c:v>2009</c:v>
                </c:pt>
                <c:pt idx="3">
                  <c:v>2010</c:v>
                </c:pt>
                <c:pt idx="4">
                  <c:v>2011</c:v>
                </c:pt>
                <c:pt idx="5">
                  <c:v>2012</c:v>
                </c:pt>
              </c:numCache>
            </c:numRef>
          </c:cat>
          <c:val>
            <c:numRef>
              <c:f>'Oil Revenues'!$E$66:$J$66</c:f>
              <c:numCache>
                <c:formatCode>_-* #,##0_-;\-* #,##0_-;_-* "-"??_-;_-@_-</c:formatCode>
                <c:ptCount val="6"/>
                <c:pt idx="0">
                  <c:v>486349</c:v>
                </c:pt>
                <c:pt idx="1">
                  <c:v>837711</c:v>
                </c:pt>
                <c:pt idx="2">
                  <c:v>348882</c:v>
                </c:pt>
                <c:pt idx="3">
                  <c:v>548320</c:v>
                </c:pt>
                <c:pt idx="4">
                  <c:v>728287</c:v>
                </c:pt>
                <c:pt idx="5">
                  <c:v>764317</c:v>
                </c:pt>
              </c:numCache>
            </c:numRef>
          </c:val>
        </c:ser>
        <c:ser>
          <c:idx val="1"/>
          <c:order val="1"/>
          <c:tx>
            <c:strRef>
              <c:f>'Oil Revenues'!$D$67</c:f>
              <c:strCache>
                <c:ptCount val="1"/>
                <c:pt idx="0">
                  <c:v>Domestic  Oil Revenues</c:v>
                </c:pt>
              </c:strCache>
            </c:strRef>
          </c:tx>
          <c:cat>
            <c:numRef>
              <c:f>'Oil Revenues'!$E$65:$J$65</c:f>
              <c:numCache>
                <c:formatCode>General</c:formatCode>
                <c:ptCount val="6"/>
                <c:pt idx="0">
                  <c:v>2007</c:v>
                </c:pt>
                <c:pt idx="1">
                  <c:v>2008</c:v>
                </c:pt>
                <c:pt idx="2">
                  <c:v>2009</c:v>
                </c:pt>
                <c:pt idx="3">
                  <c:v>2010</c:v>
                </c:pt>
                <c:pt idx="4">
                  <c:v>2011</c:v>
                </c:pt>
                <c:pt idx="5">
                  <c:v>2012</c:v>
                </c:pt>
              </c:numCache>
            </c:numRef>
          </c:cat>
          <c:val>
            <c:numRef>
              <c:f>'Oil Revenues'!$E$67:$J$67</c:f>
              <c:numCache>
                <c:formatCode>_-* #,##0_-;\-* #,##0_-;_-* "-"??_-;_-@_-</c:formatCode>
                <c:ptCount val="6"/>
                <c:pt idx="0">
                  <c:v>446977</c:v>
                </c:pt>
                <c:pt idx="1">
                  <c:v>600007</c:v>
                </c:pt>
                <c:pt idx="2">
                  <c:v>347350</c:v>
                </c:pt>
                <c:pt idx="3">
                  <c:v>489873</c:v>
                </c:pt>
                <c:pt idx="4">
                  <c:v>393052</c:v>
                </c:pt>
                <c:pt idx="5">
                  <c:v>243220</c:v>
                </c:pt>
              </c:numCache>
            </c:numRef>
          </c:val>
        </c:ser>
        <c:ser>
          <c:idx val="2"/>
          <c:order val="2"/>
          <c:tx>
            <c:strRef>
              <c:f>'Oil Revenues'!$D$68</c:f>
              <c:strCache>
                <c:ptCount val="1"/>
                <c:pt idx="0">
                  <c:v>Gas Exports*</c:v>
                </c:pt>
              </c:strCache>
            </c:strRef>
          </c:tx>
          <c:cat>
            <c:numRef>
              <c:f>'Oil Revenues'!$E$65:$J$65</c:f>
              <c:numCache>
                <c:formatCode>General</c:formatCode>
                <c:ptCount val="6"/>
                <c:pt idx="0">
                  <c:v>2007</c:v>
                </c:pt>
                <c:pt idx="1">
                  <c:v>2008</c:v>
                </c:pt>
                <c:pt idx="2">
                  <c:v>2009</c:v>
                </c:pt>
                <c:pt idx="3">
                  <c:v>2010</c:v>
                </c:pt>
                <c:pt idx="4">
                  <c:v>2011</c:v>
                </c:pt>
                <c:pt idx="5">
                  <c:v>2012</c:v>
                </c:pt>
              </c:numCache>
            </c:numRef>
          </c:cat>
          <c:val>
            <c:numRef>
              <c:f>'Oil Revenues'!$E$68:$J$68</c:f>
              <c:numCache>
                <c:formatCode>_-* #,##0_-;\-* #,##0_-;_-* "-"??_-;_-@_-</c:formatCode>
                <c:ptCount val="6"/>
                <c:pt idx="0">
                  <c:v>0</c:v>
                </c:pt>
                <c:pt idx="1">
                  <c:v>0</c:v>
                </c:pt>
                <c:pt idx="2">
                  <c:v>496</c:v>
                </c:pt>
                <c:pt idx="3">
                  <c:v>21267</c:v>
                </c:pt>
                <c:pt idx="4">
                  <c:v>38475</c:v>
                </c:pt>
                <c:pt idx="5">
                  <c:v>34142</c:v>
                </c:pt>
              </c:numCache>
            </c:numRef>
          </c:val>
        </c:ser>
        <c:ser>
          <c:idx val="3"/>
          <c:order val="3"/>
          <c:tx>
            <c:strRef>
              <c:f>'Oil Revenues'!$D$69</c:f>
              <c:strCache>
                <c:ptCount val="1"/>
                <c:pt idx="0">
                  <c:v>Domestic Gas Sales</c:v>
                </c:pt>
              </c:strCache>
            </c:strRef>
          </c:tx>
          <c:cat>
            <c:numRef>
              <c:f>'Oil Revenues'!$E$65:$J$65</c:f>
              <c:numCache>
                <c:formatCode>General</c:formatCode>
                <c:ptCount val="6"/>
                <c:pt idx="0">
                  <c:v>2007</c:v>
                </c:pt>
                <c:pt idx="1">
                  <c:v>2008</c:v>
                </c:pt>
                <c:pt idx="2">
                  <c:v>2009</c:v>
                </c:pt>
                <c:pt idx="3">
                  <c:v>2010</c:v>
                </c:pt>
                <c:pt idx="4">
                  <c:v>2011</c:v>
                </c:pt>
                <c:pt idx="5">
                  <c:v>2012</c:v>
                </c:pt>
              </c:numCache>
            </c:numRef>
          </c:cat>
          <c:val>
            <c:numRef>
              <c:f>'Oil Revenues'!$E$69:$J$69</c:f>
              <c:numCache>
                <c:formatCode>_-* #,##0_-;\-* #,##0_-;_-* "-"??_-;_-@_-</c:formatCode>
                <c:ptCount val="6"/>
                <c:pt idx="0">
                  <c:v>14503</c:v>
                </c:pt>
                <c:pt idx="1">
                  <c:v>19005</c:v>
                </c:pt>
                <c:pt idx="2">
                  <c:v>19072</c:v>
                </c:pt>
                <c:pt idx="3">
                  <c:v>30613</c:v>
                </c:pt>
                <c:pt idx="4">
                  <c:v>26195</c:v>
                </c:pt>
                <c:pt idx="5">
                  <c:v>49314</c:v>
                </c:pt>
              </c:numCache>
            </c:numRef>
          </c:val>
        </c:ser>
        <c:marker val="1"/>
        <c:axId val="117087616"/>
        <c:axId val="117090176"/>
      </c:lineChart>
      <c:catAx>
        <c:axId val="117087616"/>
        <c:scaling>
          <c:orientation val="minMax"/>
        </c:scaling>
        <c:axPos val="b"/>
        <c:numFmt formatCode="General" sourceLinked="1"/>
        <c:majorTickMark val="none"/>
        <c:tickLblPos val="nextTo"/>
        <c:crossAx val="117090176"/>
        <c:crosses val="autoZero"/>
        <c:auto val="1"/>
        <c:lblAlgn val="ctr"/>
        <c:lblOffset val="100"/>
      </c:catAx>
      <c:valAx>
        <c:axId val="117090176"/>
        <c:scaling>
          <c:orientation val="minMax"/>
        </c:scaling>
        <c:axPos val="l"/>
        <c:majorGridlines/>
        <c:numFmt formatCode="_-* #,##0_-;\-* #,##0_-;_-* &quot;-&quot;??_-;_-@_-" sourceLinked="1"/>
        <c:majorTickMark val="none"/>
        <c:tickLblPos val="nextTo"/>
        <c:spPr>
          <a:ln w="9525">
            <a:noFill/>
          </a:ln>
        </c:spPr>
        <c:crossAx val="117087616"/>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Governorates' Revenues to Total Revenues and Grants (2012)</a:t>
            </a:r>
          </a:p>
        </c:rich>
      </c:tx>
    </c:title>
    <c:plotArea>
      <c:layout>
        <c:manualLayout>
          <c:layoutTarget val="inner"/>
          <c:xMode val="edge"/>
          <c:yMode val="edge"/>
          <c:x val="0.19309518684265226"/>
          <c:y val="0.10520062068569491"/>
          <c:w val="0.51283868653109133"/>
          <c:h val="0.81339368369618759"/>
        </c:manualLayout>
      </c:layout>
      <c:barChart>
        <c:barDir val="bar"/>
        <c:grouping val="stacked"/>
        <c:ser>
          <c:idx val="0"/>
          <c:order val="0"/>
          <c:tx>
            <c:strRef>
              <c:f>'% of reven &amp; Expend'!$J$29</c:f>
              <c:strCache>
                <c:ptCount val="1"/>
                <c:pt idx="0">
                  <c:v>Ch1: Tax Revenues</c:v>
                </c:pt>
              </c:strCache>
            </c:strRef>
          </c:tx>
          <c:cat>
            <c:strRef>
              <c:f>'% of reven &amp; Expend'!$I$30:$I$50</c:f>
              <c:strCache>
                <c:ptCount val="21"/>
                <c:pt idx="0">
                  <c:v>Sana'a City</c:v>
                </c:pt>
                <c:pt idx="1">
                  <c:v>Sana'a Governorate</c:v>
                </c:pt>
                <c:pt idx="2">
                  <c:v>Aden</c:v>
                </c:pt>
                <c:pt idx="3">
                  <c:v>Taiz</c:v>
                </c:pt>
                <c:pt idx="4">
                  <c:v>Hudaidah</c:v>
                </c:pt>
                <c:pt idx="5">
                  <c:v>Hadhramot</c:v>
                </c:pt>
                <c:pt idx="6">
                  <c:v>Ibb</c:v>
                </c:pt>
                <c:pt idx="7">
                  <c:v>Abyan</c:v>
                </c:pt>
                <c:pt idx="8">
                  <c:v>Dhamar</c:v>
                </c:pt>
                <c:pt idx="9">
                  <c:v>Shabwah</c:v>
                </c:pt>
                <c:pt idx="10">
                  <c:v>Hajjah</c:v>
                </c:pt>
                <c:pt idx="11">
                  <c:v>AL-Baidha</c:v>
                </c:pt>
                <c:pt idx="12">
                  <c:v>Lahj</c:v>
                </c:pt>
                <c:pt idx="13">
                  <c:v>Sa'adah</c:v>
                </c:pt>
                <c:pt idx="14">
                  <c:v>AL-Mahweet</c:v>
                </c:pt>
                <c:pt idx="15">
                  <c:v>AL-Maharah</c:v>
                </c:pt>
                <c:pt idx="16">
                  <c:v>Ma'arib</c:v>
                </c:pt>
                <c:pt idx="17">
                  <c:v>AL-Jawf</c:v>
                </c:pt>
                <c:pt idx="18">
                  <c:v>Amran</c:v>
                </c:pt>
                <c:pt idx="19">
                  <c:v>AL-Dhalia'a</c:v>
                </c:pt>
                <c:pt idx="20">
                  <c:v>Raima</c:v>
                </c:pt>
              </c:strCache>
            </c:strRef>
          </c:cat>
          <c:val>
            <c:numRef>
              <c:f>'% of reven &amp; Expend'!$J$30:$J$50</c:f>
              <c:numCache>
                <c:formatCode>0%</c:formatCode>
                <c:ptCount val="21"/>
                <c:pt idx="0">
                  <c:v>0.10537081550460284</c:v>
                </c:pt>
                <c:pt idx="1">
                  <c:v>2.3405879486601226E-2</c:v>
                </c:pt>
                <c:pt idx="2">
                  <c:v>2.1885842840710597E-2</c:v>
                </c:pt>
                <c:pt idx="3">
                  <c:v>1.5945971930751483E-2</c:v>
                </c:pt>
                <c:pt idx="4">
                  <c:v>2.0156069912419066E-2</c:v>
                </c:pt>
                <c:pt idx="5">
                  <c:v>1.2519700926255876E-2</c:v>
                </c:pt>
                <c:pt idx="6">
                  <c:v>1.4832913861172739E-2</c:v>
                </c:pt>
                <c:pt idx="7">
                  <c:v>4.859056477581389E-3</c:v>
                </c:pt>
                <c:pt idx="8">
                  <c:v>1.5078585079383941E-2</c:v>
                </c:pt>
                <c:pt idx="9">
                  <c:v>2.68940758544424E-3</c:v>
                </c:pt>
                <c:pt idx="10">
                  <c:v>2.0157710814883011E-2</c:v>
                </c:pt>
                <c:pt idx="11">
                  <c:v>2.3824057025223732E-2</c:v>
                </c:pt>
                <c:pt idx="12">
                  <c:v>5.8267523416484831E-3</c:v>
                </c:pt>
                <c:pt idx="13">
                  <c:v>2.5524472167984688E-2</c:v>
                </c:pt>
                <c:pt idx="14">
                  <c:v>8.6515947301887223E-3</c:v>
                </c:pt>
                <c:pt idx="15">
                  <c:v>1.0621741146401341E-2</c:v>
                </c:pt>
                <c:pt idx="16">
                  <c:v>8.9404941110667758E-3</c:v>
                </c:pt>
                <c:pt idx="17">
                  <c:v>3.2272842962586001E-3</c:v>
                </c:pt>
                <c:pt idx="18">
                  <c:v>2.1359983095153311E-2</c:v>
                </c:pt>
                <c:pt idx="19">
                  <c:v>1.8832731566482189E-2</c:v>
                </c:pt>
                <c:pt idx="20">
                  <c:v>5.6648193475765498E-3</c:v>
                </c:pt>
              </c:numCache>
            </c:numRef>
          </c:val>
        </c:ser>
        <c:ser>
          <c:idx val="1"/>
          <c:order val="1"/>
          <c:tx>
            <c:strRef>
              <c:f>'% of reven &amp; Expend'!$K$29</c:f>
              <c:strCache>
                <c:ptCount val="1"/>
                <c:pt idx="0">
                  <c:v>Ch2: Grants</c:v>
                </c:pt>
              </c:strCache>
            </c:strRef>
          </c:tx>
          <c:cat>
            <c:strRef>
              <c:f>'% of reven &amp; Expend'!$I$30:$I$50</c:f>
              <c:strCache>
                <c:ptCount val="21"/>
                <c:pt idx="0">
                  <c:v>Sana'a City</c:v>
                </c:pt>
                <c:pt idx="1">
                  <c:v>Sana'a Governorate</c:v>
                </c:pt>
                <c:pt idx="2">
                  <c:v>Aden</c:v>
                </c:pt>
                <c:pt idx="3">
                  <c:v>Taiz</c:v>
                </c:pt>
                <c:pt idx="4">
                  <c:v>Hudaidah</c:v>
                </c:pt>
                <c:pt idx="5">
                  <c:v>Hadhramot</c:v>
                </c:pt>
                <c:pt idx="6">
                  <c:v>Ibb</c:v>
                </c:pt>
                <c:pt idx="7">
                  <c:v>Abyan</c:v>
                </c:pt>
                <c:pt idx="8">
                  <c:v>Dhamar</c:v>
                </c:pt>
                <c:pt idx="9">
                  <c:v>Shabwah</c:v>
                </c:pt>
                <c:pt idx="10">
                  <c:v>Hajjah</c:v>
                </c:pt>
                <c:pt idx="11">
                  <c:v>AL-Baidha</c:v>
                </c:pt>
                <c:pt idx="12">
                  <c:v>Lahj</c:v>
                </c:pt>
                <c:pt idx="13">
                  <c:v>Sa'adah</c:v>
                </c:pt>
                <c:pt idx="14">
                  <c:v>AL-Mahweet</c:v>
                </c:pt>
                <c:pt idx="15">
                  <c:v>AL-Maharah</c:v>
                </c:pt>
                <c:pt idx="16">
                  <c:v>Ma'arib</c:v>
                </c:pt>
                <c:pt idx="17">
                  <c:v>AL-Jawf</c:v>
                </c:pt>
                <c:pt idx="18">
                  <c:v>Amran</c:v>
                </c:pt>
                <c:pt idx="19">
                  <c:v>AL-Dhalia'a</c:v>
                </c:pt>
                <c:pt idx="20">
                  <c:v>Raima</c:v>
                </c:pt>
              </c:strCache>
            </c:strRef>
          </c:cat>
          <c:val>
            <c:numRef>
              <c:f>'% of reven &amp; Expend'!$K$30:$K$50</c:f>
              <c:numCache>
                <c:formatCode>0%</c:formatCode>
                <c:ptCount val="21"/>
                <c:pt idx="0">
                  <c:v>0.86320807838314773</c:v>
                </c:pt>
                <c:pt idx="1">
                  <c:v>0.96120973666566734</c:v>
                </c:pt>
                <c:pt idx="2">
                  <c:v>0.93854998587376237</c:v>
                </c:pt>
                <c:pt idx="3">
                  <c:v>0.96654128513687465</c:v>
                </c:pt>
                <c:pt idx="4">
                  <c:v>0.96768501390929484</c:v>
                </c:pt>
                <c:pt idx="5">
                  <c:v>0.97581813219731561</c:v>
                </c:pt>
                <c:pt idx="6">
                  <c:v>0.97108179557379604</c:v>
                </c:pt>
                <c:pt idx="7">
                  <c:v>0.98904129903040972</c:v>
                </c:pt>
                <c:pt idx="8">
                  <c:v>0.97348922668513038</c:v>
                </c:pt>
                <c:pt idx="9">
                  <c:v>0.98858473268487401</c:v>
                </c:pt>
                <c:pt idx="10">
                  <c:v>0.97094019455862901</c:v>
                </c:pt>
                <c:pt idx="11">
                  <c:v>0.95736937838538383</c:v>
                </c:pt>
                <c:pt idx="12">
                  <c:v>0.98762319142490917</c:v>
                </c:pt>
                <c:pt idx="13">
                  <c:v>0.96498578304601845</c:v>
                </c:pt>
                <c:pt idx="14">
                  <c:v>0.98404070921242059</c:v>
                </c:pt>
                <c:pt idx="15">
                  <c:v>0.97547250112087069</c:v>
                </c:pt>
                <c:pt idx="16">
                  <c:v>0.98052741107242158</c:v>
                </c:pt>
                <c:pt idx="17">
                  <c:v>0.99365083167397905</c:v>
                </c:pt>
                <c:pt idx="18">
                  <c:v>0.96749245266569173</c:v>
                </c:pt>
                <c:pt idx="19">
                  <c:v>0.96459536013869085</c:v>
                </c:pt>
                <c:pt idx="20">
                  <c:v>0.98242155991991142</c:v>
                </c:pt>
              </c:numCache>
            </c:numRef>
          </c:val>
        </c:ser>
        <c:ser>
          <c:idx val="2"/>
          <c:order val="2"/>
          <c:tx>
            <c:strRef>
              <c:f>'% of reven &amp; Expend'!$L$29</c:f>
              <c:strCache>
                <c:ptCount val="1"/>
                <c:pt idx="0">
                  <c:v>Ch3: Income From Properties, Sales Of Goods And Services And Various Transfers</c:v>
                </c:pt>
              </c:strCache>
            </c:strRef>
          </c:tx>
          <c:cat>
            <c:strRef>
              <c:f>'% of reven &amp; Expend'!$I$30:$I$50</c:f>
              <c:strCache>
                <c:ptCount val="21"/>
                <c:pt idx="0">
                  <c:v>Sana'a City</c:v>
                </c:pt>
                <c:pt idx="1">
                  <c:v>Sana'a Governorate</c:v>
                </c:pt>
                <c:pt idx="2">
                  <c:v>Aden</c:v>
                </c:pt>
                <c:pt idx="3">
                  <c:v>Taiz</c:v>
                </c:pt>
                <c:pt idx="4">
                  <c:v>Hudaidah</c:v>
                </c:pt>
                <c:pt idx="5">
                  <c:v>Hadhramot</c:v>
                </c:pt>
                <c:pt idx="6">
                  <c:v>Ibb</c:v>
                </c:pt>
                <c:pt idx="7">
                  <c:v>Abyan</c:v>
                </c:pt>
                <c:pt idx="8">
                  <c:v>Dhamar</c:v>
                </c:pt>
                <c:pt idx="9">
                  <c:v>Shabwah</c:v>
                </c:pt>
                <c:pt idx="10">
                  <c:v>Hajjah</c:v>
                </c:pt>
                <c:pt idx="11">
                  <c:v>AL-Baidha</c:v>
                </c:pt>
                <c:pt idx="12">
                  <c:v>Lahj</c:v>
                </c:pt>
                <c:pt idx="13">
                  <c:v>Sa'adah</c:v>
                </c:pt>
                <c:pt idx="14">
                  <c:v>AL-Mahweet</c:v>
                </c:pt>
                <c:pt idx="15">
                  <c:v>AL-Maharah</c:v>
                </c:pt>
                <c:pt idx="16">
                  <c:v>Ma'arib</c:v>
                </c:pt>
                <c:pt idx="17">
                  <c:v>AL-Jawf</c:v>
                </c:pt>
                <c:pt idx="18">
                  <c:v>Amran</c:v>
                </c:pt>
                <c:pt idx="19">
                  <c:v>AL-Dhalia'a</c:v>
                </c:pt>
                <c:pt idx="20">
                  <c:v>Raima</c:v>
                </c:pt>
              </c:strCache>
            </c:strRef>
          </c:cat>
          <c:val>
            <c:numRef>
              <c:f>'% of reven &amp; Expend'!$L$30:$L$50</c:f>
              <c:numCache>
                <c:formatCode>0%</c:formatCode>
                <c:ptCount val="21"/>
                <c:pt idx="0">
                  <c:v>3.0935570470941181E-2</c:v>
                </c:pt>
                <c:pt idx="1">
                  <c:v>1.2957562977092956E-2</c:v>
                </c:pt>
                <c:pt idx="2">
                  <c:v>3.952567517953668E-2</c:v>
                </c:pt>
                <c:pt idx="3">
                  <c:v>1.749599442963818E-2</c:v>
                </c:pt>
                <c:pt idx="4">
                  <c:v>1.2158916178287335E-2</c:v>
                </c:pt>
                <c:pt idx="5">
                  <c:v>1.1525315609492491E-2</c:v>
                </c:pt>
                <c:pt idx="6">
                  <c:v>1.4085290565032273E-2</c:v>
                </c:pt>
                <c:pt idx="7">
                  <c:v>6.0996444920090121E-3</c:v>
                </c:pt>
                <c:pt idx="8">
                  <c:v>1.1432188235486935E-2</c:v>
                </c:pt>
                <c:pt idx="9">
                  <c:v>8.7258597296827507E-3</c:v>
                </c:pt>
                <c:pt idx="10">
                  <c:v>8.9020946264889694E-3</c:v>
                </c:pt>
                <c:pt idx="11">
                  <c:v>1.8757102318158823E-2</c:v>
                </c:pt>
                <c:pt idx="12">
                  <c:v>6.5500562334424002E-3</c:v>
                </c:pt>
                <c:pt idx="13">
                  <c:v>9.4897447859969529E-3</c:v>
                </c:pt>
                <c:pt idx="14">
                  <c:v>7.3076960573907404E-3</c:v>
                </c:pt>
                <c:pt idx="15">
                  <c:v>1.3905757732728345E-2</c:v>
                </c:pt>
                <c:pt idx="16">
                  <c:v>1.0532094816511161E-2</c:v>
                </c:pt>
                <c:pt idx="17">
                  <c:v>3.1218840297636001E-3</c:v>
                </c:pt>
                <c:pt idx="18">
                  <c:v>1.1147564239156329E-2</c:v>
                </c:pt>
                <c:pt idx="19">
                  <c:v>1.6571908294827114E-2</c:v>
                </c:pt>
                <c:pt idx="20">
                  <c:v>1.1913620732510953E-2</c:v>
                </c:pt>
              </c:numCache>
            </c:numRef>
          </c:val>
        </c:ser>
        <c:ser>
          <c:idx val="3"/>
          <c:order val="3"/>
          <c:tx>
            <c:strRef>
              <c:f>'% of reven &amp; Expend'!$M$29</c:f>
              <c:strCache>
                <c:ptCount val="1"/>
                <c:pt idx="0">
                  <c:v>Ch4: Disposal of non-financial Assets</c:v>
                </c:pt>
              </c:strCache>
            </c:strRef>
          </c:tx>
          <c:cat>
            <c:strRef>
              <c:f>'% of reven &amp; Expend'!$I$30:$I$50</c:f>
              <c:strCache>
                <c:ptCount val="21"/>
                <c:pt idx="0">
                  <c:v>Sana'a City</c:v>
                </c:pt>
                <c:pt idx="1">
                  <c:v>Sana'a Governorate</c:v>
                </c:pt>
                <c:pt idx="2">
                  <c:v>Aden</c:v>
                </c:pt>
                <c:pt idx="3">
                  <c:v>Taiz</c:v>
                </c:pt>
                <c:pt idx="4">
                  <c:v>Hudaidah</c:v>
                </c:pt>
                <c:pt idx="5">
                  <c:v>Hadhramot</c:v>
                </c:pt>
                <c:pt idx="6">
                  <c:v>Ibb</c:v>
                </c:pt>
                <c:pt idx="7">
                  <c:v>Abyan</c:v>
                </c:pt>
                <c:pt idx="8">
                  <c:v>Dhamar</c:v>
                </c:pt>
                <c:pt idx="9">
                  <c:v>Shabwah</c:v>
                </c:pt>
                <c:pt idx="10">
                  <c:v>Hajjah</c:v>
                </c:pt>
                <c:pt idx="11">
                  <c:v>AL-Baidha</c:v>
                </c:pt>
                <c:pt idx="12">
                  <c:v>Lahj</c:v>
                </c:pt>
                <c:pt idx="13">
                  <c:v>Sa'adah</c:v>
                </c:pt>
                <c:pt idx="14">
                  <c:v>AL-Mahweet</c:v>
                </c:pt>
                <c:pt idx="15">
                  <c:v>AL-Maharah</c:v>
                </c:pt>
                <c:pt idx="16">
                  <c:v>Ma'arib</c:v>
                </c:pt>
                <c:pt idx="17">
                  <c:v>AL-Jawf</c:v>
                </c:pt>
                <c:pt idx="18">
                  <c:v>Amran</c:v>
                </c:pt>
                <c:pt idx="19">
                  <c:v>AL-Dhalia'a</c:v>
                </c:pt>
                <c:pt idx="20">
                  <c:v>Raima</c:v>
                </c:pt>
              </c:strCache>
            </c:strRef>
          </c:cat>
          <c:val>
            <c:numRef>
              <c:f>'% of reven &amp; Expend'!$M$30:$M$50</c:f>
              <c:numCache>
                <c:formatCode>0%</c:formatCode>
                <c:ptCount val="21"/>
                <c:pt idx="0">
                  <c:v>4.8553564130963392E-4</c:v>
                </c:pt>
                <c:pt idx="1">
                  <c:v>2.4268208706395575E-3</c:v>
                </c:pt>
                <c:pt idx="2">
                  <c:v>3.8496105990558763E-5</c:v>
                </c:pt>
                <c:pt idx="3">
                  <c:v>1.6748502736255156E-5</c:v>
                </c:pt>
                <c:pt idx="4">
                  <c:v>0</c:v>
                </c:pt>
                <c:pt idx="5">
                  <c:v>1.3685126693613263E-4</c:v>
                </c:pt>
                <c:pt idx="6">
                  <c:v>0</c:v>
                </c:pt>
                <c:pt idx="7">
                  <c:v>0</c:v>
                </c:pt>
                <c:pt idx="8">
                  <c:v>0</c:v>
                </c:pt>
                <c:pt idx="9">
                  <c:v>0</c:v>
                </c:pt>
                <c:pt idx="10">
                  <c:v>0</c:v>
                </c:pt>
                <c:pt idx="11">
                  <c:v>4.9462271233617206E-5</c:v>
                </c:pt>
                <c:pt idx="12">
                  <c:v>0</c:v>
                </c:pt>
                <c:pt idx="13">
                  <c:v>0</c:v>
                </c:pt>
                <c:pt idx="14">
                  <c:v>0</c:v>
                </c:pt>
                <c:pt idx="15">
                  <c:v>0</c:v>
                </c:pt>
                <c:pt idx="16">
                  <c:v>0</c:v>
                </c:pt>
                <c:pt idx="17">
                  <c:v>0</c:v>
                </c:pt>
                <c:pt idx="18">
                  <c:v>0</c:v>
                </c:pt>
                <c:pt idx="19">
                  <c:v>0</c:v>
                </c:pt>
                <c:pt idx="20">
                  <c:v>0</c:v>
                </c:pt>
              </c:numCache>
            </c:numRef>
          </c:val>
        </c:ser>
        <c:gapWidth val="55"/>
        <c:overlap val="100"/>
        <c:axId val="138133504"/>
        <c:axId val="138136576"/>
      </c:barChart>
      <c:catAx>
        <c:axId val="138133504"/>
        <c:scaling>
          <c:orientation val="minMax"/>
        </c:scaling>
        <c:axPos val="l"/>
        <c:majorTickMark val="none"/>
        <c:tickLblPos val="nextTo"/>
        <c:crossAx val="138136576"/>
        <c:crosses val="autoZero"/>
        <c:auto val="1"/>
        <c:lblAlgn val="ctr"/>
        <c:lblOffset val="100"/>
      </c:catAx>
      <c:valAx>
        <c:axId val="138136576"/>
        <c:scaling>
          <c:orientation val="minMax"/>
        </c:scaling>
        <c:axPos val="b"/>
        <c:majorGridlines/>
        <c:numFmt formatCode="0%" sourceLinked="1"/>
        <c:majorTickMark val="none"/>
        <c:tickLblPos val="nextTo"/>
        <c:crossAx val="138133504"/>
        <c:crosses val="autoZero"/>
        <c:crossBetween val="between"/>
      </c:valAx>
    </c:plotArea>
    <c:legend>
      <c:legendPos val="r"/>
      <c:layout>
        <c:manualLayout>
          <c:xMode val="edge"/>
          <c:yMode val="edge"/>
          <c:x val="0.73505134160388452"/>
          <c:y val="0.17165416921322382"/>
          <c:w val="0.25343786702921195"/>
          <c:h val="0.6942230959728245"/>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0B5A-1674-43D7-BFE0-4DDCA637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11087</Words>
  <Characters>63197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Khaldoon Mohammed</dc:creator>
  <cp:lastModifiedBy>Khaldoon Mohammed</cp:lastModifiedBy>
  <cp:revision>5</cp:revision>
  <dcterms:created xsi:type="dcterms:W3CDTF">2013-08-11T17:51:00Z</dcterms:created>
  <dcterms:modified xsi:type="dcterms:W3CDTF">2013-08-11T18:17:00Z</dcterms:modified>
</cp:coreProperties>
</file>